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9F803" w14:textId="6E3E75A4" w:rsidR="004528DB" w:rsidRPr="00117893" w:rsidRDefault="007D74B7" w:rsidP="00C33867">
      <w:pPr>
        <w:spacing w:line="240" w:lineRule="auto"/>
        <w:jc w:val="center"/>
        <w:rPr>
          <w:rFonts w:ascii="Aptos" w:hAnsi="Aptos"/>
          <w:b/>
          <w:bCs/>
          <w:u w:val="single"/>
        </w:rPr>
      </w:pPr>
      <w:r w:rsidRPr="00117893">
        <w:rPr>
          <w:rFonts w:ascii="Aptos" w:hAnsi="Aptos"/>
          <w:b/>
          <w:bCs/>
          <w:u w:val="single"/>
        </w:rPr>
        <w:t>MH B</w:t>
      </w:r>
      <w:r w:rsidR="001D6FE3" w:rsidRPr="00117893">
        <w:rPr>
          <w:rFonts w:ascii="Aptos" w:hAnsi="Aptos"/>
          <w:b/>
          <w:bCs/>
          <w:u w:val="single"/>
        </w:rPr>
        <w:t xml:space="preserve">rown Bag </w:t>
      </w:r>
      <w:proofErr w:type="gramStart"/>
      <w:r w:rsidR="001D6FE3" w:rsidRPr="00117893">
        <w:rPr>
          <w:rFonts w:ascii="Aptos" w:hAnsi="Aptos"/>
          <w:b/>
          <w:bCs/>
          <w:u w:val="single"/>
        </w:rPr>
        <w:t xml:space="preserve">Notes </w:t>
      </w:r>
      <w:r w:rsidRPr="00117893">
        <w:rPr>
          <w:rFonts w:ascii="Aptos" w:hAnsi="Aptos"/>
          <w:b/>
          <w:bCs/>
          <w:u w:val="single"/>
        </w:rPr>
        <w:t xml:space="preserve"> 9.13.24</w:t>
      </w:r>
      <w:proofErr w:type="gramEnd"/>
    </w:p>
    <w:p w14:paraId="4854935C" w14:textId="77777777" w:rsidR="007D74B7" w:rsidRPr="00117893" w:rsidRDefault="007D74B7" w:rsidP="00C33867">
      <w:pPr>
        <w:spacing w:line="240" w:lineRule="auto"/>
        <w:rPr>
          <w:rFonts w:ascii="Aptos" w:hAnsi="Aptos"/>
        </w:rPr>
      </w:pPr>
    </w:p>
    <w:p w14:paraId="0F6731AE" w14:textId="64F08F77" w:rsidR="005B537F" w:rsidRPr="00117893" w:rsidRDefault="004E7334" w:rsidP="00C33867">
      <w:pPr>
        <w:spacing w:line="240" w:lineRule="auto"/>
        <w:rPr>
          <w:rFonts w:ascii="Aptos" w:hAnsi="Aptos"/>
          <w:b/>
          <w:bCs/>
        </w:rPr>
      </w:pPr>
      <w:r w:rsidRPr="00117893">
        <w:rPr>
          <w:rFonts w:ascii="Aptos" w:hAnsi="Aptos"/>
          <w:b/>
          <w:bCs/>
        </w:rPr>
        <w:t xml:space="preserve">Are there any updates on the </w:t>
      </w:r>
      <w:r w:rsidR="000E073B" w:rsidRPr="00117893">
        <w:rPr>
          <w:rFonts w:ascii="Aptos" w:hAnsi="Aptos"/>
          <w:b/>
          <w:bCs/>
        </w:rPr>
        <w:t>Justice-Involved</w:t>
      </w:r>
      <w:r w:rsidRPr="00117893">
        <w:rPr>
          <w:rFonts w:ascii="Aptos" w:hAnsi="Aptos"/>
          <w:b/>
          <w:bCs/>
        </w:rPr>
        <w:t xml:space="preserve"> Initiative? </w:t>
      </w:r>
    </w:p>
    <w:p w14:paraId="3B06BA9D" w14:textId="74788A87" w:rsidR="005B537F" w:rsidRPr="00117893" w:rsidRDefault="006B6D3A" w:rsidP="00C33867">
      <w:pPr>
        <w:spacing w:line="240" w:lineRule="auto"/>
        <w:rPr>
          <w:rFonts w:ascii="Aptos" w:hAnsi="Aptos"/>
        </w:rPr>
      </w:pPr>
      <w:proofErr w:type="gramStart"/>
      <w:r w:rsidRPr="00117893">
        <w:rPr>
          <w:rFonts w:ascii="Aptos" w:hAnsi="Aptos"/>
        </w:rPr>
        <w:t>At this time</w:t>
      </w:r>
      <w:proofErr w:type="gramEnd"/>
      <w:r w:rsidRPr="00117893">
        <w:rPr>
          <w:rFonts w:ascii="Aptos" w:hAnsi="Aptos"/>
        </w:rPr>
        <w:t>, ACBHD continues to work internally on a</w:t>
      </w:r>
      <w:r w:rsidR="00A925E9">
        <w:rPr>
          <w:rFonts w:ascii="Aptos" w:hAnsi="Aptos"/>
        </w:rPr>
        <w:t xml:space="preserve">n implementation </w:t>
      </w:r>
      <w:r w:rsidRPr="00117893">
        <w:rPr>
          <w:rFonts w:ascii="Aptos" w:hAnsi="Aptos"/>
        </w:rPr>
        <w:t xml:space="preserve">plan, and there are no </w:t>
      </w:r>
      <w:r w:rsidR="006862DE" w:rsidRPr="00117893">
        <w:rPr>
          <w:rFonts w:ascii="Aptos" w:hAnsi="Aptos"/>
        </w:rPr>
        <w:t>significant updates. For general information on the initiative please review this</w:t>
      </w:r>
      <w:r w:rsidR="00E7144D" w:rsidRPr="00117893">
        <w:rPr>
          <w:rFonts w:ascii="Aptos" w:hAnsi="Aptos"/>
        </w:rPr>
        <w:t xml:space="preserve"> </w:t>
      </w:r>
      <w:hyperlink r:id="rId4" w:history="1">
        <w:r w:rsidR="00E7144D" w:rsidRPr="00117893">
          <w:rPr>
            <w:rStyle w:val="Hyperlink"/>
            <w:rFonts w:ascii="Aptos" w:hAnsi="Aptos"/>
            <w:color w:val="auto"/>
          </w:rPr>
          <w:t>DHCS Fact Sheet.</w:t>
        </w:r>
      </w:hyperlink>
      <w:r w:rsidR="00E7144D" w:rsidRPr="00117893">
        <w:rPr>
          <w:rFonts w:ascii="Aptos" w:hAnsi="Aptos"/>
        </w:rPr>
        <w:t xml:space="preserve"> </w:t>
      </w:r>
    </w:p>
    <w:p w14:paraId="585D5CDD" w14:textId="77777777" w:rsidR="008B51A4" w:rsidRPr="00117893" w:rsidRDefault="008B51A4" w:rsidP="00C33867">
      <w:pPr>
        <w:spacing w:line="240" w:lineRule="auto"/>
        <w:rPr>
          <w:rFonts w:ascii="Aptos" w:hAnsi="Aptos"/>
        </w:rPr>
      </w:pPr>
    </w:p>
    <w:p w14:paraId="430F8BCB" w14:textId="336BE406" w:rsidR="008B51A4" w:rsidRPr="00117893" w:rsidRDefault="00170064" w:rsidP="00C33867">
      <w:pPr>
        <w:spacing w:line="240" w:lineRule="auto"/>
        <w:rPr>
          <w:rFonts w:ascii="Aptos" w:hAnsi="Aptos"/>
          <w:b/>
          <w:bCs/>
        </w:rPr>
      </w:pPr>
      <w:r w:rsidRPr="00117893">
        <w:rPr>
          <w:rFonts w:ascii="Aptos" w:hAnsi="Aptos"/>
          <w:b/>
          <w:bCs/>
        </w:rPr>
        <w:t xml:space="preserve">What types of case management activities are billable? </w:t>
      </w:r>
    </w:p>
    <w:p w14:paraId="791BF964" w14:textId="14F955DF" w:rsidR="008B51A4" w:rsidRPr="00117893" w:rsidRDefault="00665D19" w:rsidP="00C33867">
      <w:pPr>
        <w:spacing w:line="240" w:lineRule="auto"/>
        <w:rPr>
          <w:rFonts w:ascii="Aptos" w:hAnsi="Aptos"/>
        </w:rPr>
      </w:pPr>
      <w:r w:rsidRPr="00117893">
        <w:rPr>
          <w:rFonts w:ascii="Aptos" w:hAnsi="Aptos"/>
        </w:rPr>
        <w:t>The most current</w:t>
      </w:r>
      <w:r w:rsidR="007616CF" w:rsidRPr="00117893">
        <w:rPr>
          <w:rFonts w:ascii="Aptos" w:hAnsi="Aptos"/>
        </w:rPr>
        <w:t xml:space="preserve"> </w:t>
      </w:r>
      <w:hyperlink r:id="rId5" w:history="1">
        <w:r w:rsidR="007616CF" w:rsidRPr="00117893">
          <w:rPr>
            <w:rStyle w:val="Hyperlink"/>
            <w:rFonts w:ascii="Aptos" w:hAnsi="Aptos"/>
            <w:color w:val="auto"/>
          </w:rPr>
          <w:t>DHCS</w:t>
        </w:r>
        <w:r w:rsidRPr="00117893">
          <w:rPr>
            <w:rStyle w:val="Hyperlink"/>
            <w:rFonts w:ascii="Aptos" w:hAnsi="Aptos"/>
            <w:color w:val="auto"/>
          </w:rPr>
          <w:t xml:space="preserve"> Billing Manual</w:t>
        </w:r>
      </w:hyperlink>
      <w:r w:rsidRPr="00117893">
        <w:rPr>
          <w:rFonts w:ascii="Aptos" w:hAnsi="Aptos"/>
        </w:rPr>
        <w:t xml:space="preserve"> is the best resource </w:t>
      </w:r>
      <w:r w:rsidR="00DC7D01">
        <w:rPr>
          <w:rFonts w:ascii="Aptos" w:hAnsi="Aptos"/>
        </w:rPr>
        <w:t>for</w:t>
      </w:r>
      <w:r w:rsidR="00DC7D01" w:rsidRPr="00117893">
        <w:rPr>
          <w:rFonts w:ascii="Aptos" w:hAnsi="Aptos"/>
        </w:rPr>
        <w:t xml:space="preserve"> </w:t>
      </w:r>
      <w:r w:rsidRPr="00117893">
        <w:rPr>
          <w:rFonts w:ascii="Aptos" w:hAnsi="Aptos"/>
        </w:rPr>
        <w:t xml:space="preserve">understanding the range of services considered billable case management activities. They include </w:t>
      </w:r>
      <w:r w:rsidR="00BB6E6A" w:rsidRPr="00117893">
        <w:rPr>
          <w:rFonts w:ascii="Aptos" w:hAnsi="Aptos"/>
        </w:rPr>
        <w:t xml:space="preserve">assisting the beneficiary </w:t>
      </w:r>
      <w:r w:rsidR="007802D1" w:rsidRPr="00117893">
        <w:rPr>
          <w:rFonts w:ascii="Aptos" w:hAnsi="Aptos"/>
        </w:rPr>
        <w:t>with accessing</w:t>
      </w:r>
      <w:r w:rsidR="006322B5" w:rsidRPr="00117893">
        <w:rPr>
          <w:rFonts w:ascii="Aptos" w:hAnsi="Aptos"/>
        </w:rPr>
        <w:t xml:space="preserve"> medical, educational, </w:t>
      </w:r>
      <w:r w:rsidR="007802D1" w:rsidRPr="00117893">
        <w:rPr>
          <w:rFonts w:ascii="Aptos" w:hAnsi="Aptos"/>
        </w:rPr>
        <w:t xml:space="preserve">and </w:t>
      </w:r>
      <w:r w:rsidR="006322B5" w:rsidRPr="00117893">
        <w:rPr>
          <w:rFonts w:ascii="Aptos" w:hAnsi="Aptos"/>
        </w:rPr>
        <w:t>social services</w:t>
      </w:r>
      <w:r w:rsidR="007802D1" w:rsidRPr="00117893">
        <w:rPr>
          <w:rFonts w:ascii="Aptos" w:hAnsi="Aptos"/>
        </w:rPr>
        <w:t>, coordinating referrals,</w:t>
      </w:r>
      <w:r w:rsidR="00F50571" w:rsidRPr="00117893">
        <w:rPr>
          <w:rFonts w:ascii="Aptos" w:hAnsi="Aptos"/>
        </w:rPr>
        <w:t xml:space="preserve"> and coordinating placement</w:t>
      </w:r>
      <w:r w:rsidR="00E0123A" w:rsidRPr="00117893">
        <w:rPr>
          <w:rFonts w:ascii="Aptos" w:hAnsi="Aptos"/>
        </w:rPr>
        <w:t xml:space="preserve">, among other activities. </w:t>
      </w:r>
    </w:p>
    <w:p w14:paraId="213737E1" w14:textId="77777777" w:rsidR="008B51A4" w:rsidRPr="00117893" w:rsidRDefault="008B51A4" w:rsidP="00C33867">
      <w:pPr>
        <w:spacing w:line="240" w:lineRule="auto"/>
        <w:rPr>
          <w:rFonts w:ascii="Aptos" w:hAnsi="Aptos"/>
          <w:b/>
          <w:bCs/>
        </w:rPr>
      </w:pPr>
    </w:p>
    <w:p w14:paraId="1F61173E" w14:textId="43CCD934" w:rsidR="0025096C" w:rsidRPr="00117893" w:rsidRDefault="0025096C" w:rsidP="00C33867">
      <w:pPr>
        <w:spacing w:line="240" w:lineRule="auto"/>
        <w:rPr>
          <w:rFonts w:ascii="Aptos" w:hAnsi="Aptos"/>
          <w:b/>
          <w:bCs/>
        </w:rPr>
      </w:pPr>
      <w:r w:rsidRPr="00117893">
        <w:rPr>
          <w:rFonts w:ascii="Aptos" w:hAnsi="Aptos"/>
          <w:b/>
          <w:bCs/>
        </w:rPr>
        <w:t>Can documentation time still be billed to ACBHD f</w:t>
      </w:r>
      <w:r w:rsidR="007C11C4" w:rsidRPr="00117893">
        <w:rPr>
          <w:rFonts w:ascii="Aptos" w:hAnsi="Aptos"/>
          <w:b/>
          <w:bCs/>
        </w:rPr>
        <w:t>or Fiscal Year 24/25</w:t>
      </w:r>
      <w:r w:rsidRPr="00117893">
        <w:rPr>
          <w:rFonts w:ascii="Aptos" w:hAnsi="Aptos"/>
          <w:b/>
          <w:bCs/>
        </w:rPr>
        <w:t>?</w:t>
      </w:r>
    </w:p>
    <w:p w14:paraId="25334C5A" w14:textId="1CA8380A" w:rsidR="0025096C" w:rsidRPr="00117893" w:rsidRDefault="0025096C" w:rsidP="00C33867">
      <w:pPr>
        <w:spacing w:line="240" w:lineRule="auto"/>
        <w:rPr>
          <w:rFonts w:ascii="Aptos" w:hAnsi="Aptos"/>
        </w:rPr>
      </w:pPr>
      <w:r w:rsidRPr="00117893">
        <w:rPr>
          <w:rFonts w:ascii="Aptos" w:hAnsi="Aptos"/>
        </w:rPr>
        <w:t>Currently, t</w:t>
      </w:r>
      <w:r w:rsidR="003567C4" w:rsidRPr="00117893">
        <w:rPr>
          <w:rFonts w:ascii="Aptos" w:hAnsi="Aptos"/>
        </w:rPr>
        <w:t>here have been no changes to ACBHD’s approach to pay</w:t>
      </w:r>
      <w:r w:rsidR="000821B1" w:rsidRPr="00117893">
        <w:rPr>
          <w:rFonts w:ascii="Aptos" w:hAnsi="Aptos"/>
        </w:rPr>
        <w:t>ing</w:t>
      </w:r>
      <w:r w:rsidR="003567C4" w:rsidRPr="00117893">
        <w:rPr>
          <w:rFonts w:ascii="Aptos" w:hAnsi="Aptos"/>
        </w:rPr>
        <w:t xml:space="preserve"> for documentation time</w:t>
      </w:r>
      <w:r w:rsidRPr="00117893">
        <w:rPr>
          <w:rFonts w:ascii="Aptos" w:hAnsi="Aptos"/>
        </w:rPr>
        <w:t xml:space="preserve">. Providers should continue to </w:t>
      </w:r>
      <w:r w:rsidR="002959BE" w:rsidRPr="00117893">
        <w:rPr>
          <w:rFonts w:ascii="Aptos" w:hAnsi="Aptos"/>
        </w:rPr>
        <w:t>includ</w:t>
      </w:r>
      <w:r w:rsidR="008000BA">
        <w:rPr>
          <w:rFonts w:ascii="Aptos" w:hAnsi="Aptos"/>
        </w:rPr>
        <w:t xml:space="preserve">e </w:t>
      </w:r>
      <w:r w:rsidR="002959BE" w:rsidRPr="00117893">
        <w:rPr>
          <w:rFonts w:ascii="Aptos" w:hAnsi="Aptos"/>
        </w:rPr>
        <w:t>documentation</w:t>
      </w:r>
      <w:r w:rsidR="008000BA">
        <w:rPr>
          <w:rFonts w:ascii="Aptos" w:hAnsi="Aptos"/>
        </w:rPr>
        <w:t xml:space="preserve"> and travel</w:t>
      </w:r>
      <w:r w:rsidR="002959BE" w:rsidRPr="00117893">
        <w:rPr>
          <w:rFonts w:ascii="Aptos" w:hAnsi="Aptos"/>
        </w:rPr>
        <w:t xml:space="preserve"> time on claims </w:t>
      </w:r>
      <w:r w:rsidR="00DC7D01">
        <w:rPr>
          <w:rFonts w:ascii="Aptos" w:hAnsi="Aptos"/>
        </w:rPr>
        <w:t>and</w:t>
      </w:r>
      <w:r w:rsidR="008000BA">
        <w:rPr>
          <w:rFonts w:ascii="Aptos" w:hAnsi="Aptos"/>
        </w:rPr>
        <w:t xml:space="preserve"> will receive a monthly report from</w:t>
      </w:r>
      <w:r w:rsidR="00DC7D01">
        <w:rPr>
          <w:rFonts w:ascii="Aptos" w:hAnsi="Aptos"/>
        </w:rPr>
        <w:t xml:space="preserve"> ACBHD </w:t>
      </w:r>
      <w:r w:rsidR="008000BA">
        <w:rPr>
          <w:rFonts w:ascii="Aptos" w:hAnsi="Aptos"/>
        </w:rPr>
        <w:t xml:space="preserve">that can be used to bill the County </w:t>
      </w:r>
      <w:r w:rsidR="00DC7D01">
        <w:rPr>
          <w:rFonts w:ascii="Aptos" w:hAnsi="Aptos"/>
        </w:rPr>
        <w:t>for documentation</w:t>
      </w:r>
      <w:r w:rsidR="008000BA">
        <w:rPr>
          <w:rFonts w:ascii="Aptos" w:hAnsi="Aptos"/>
        </w:rPr>
        <w:t xml:space="preserve"> and travel</w:t>
      </w:r>
      <w:r w:rsidR="00DC7D01">
        <w:rPr>
          <w:rFonts w:ascii="Aptos" w:hAnsi="Aptos"/>
        </w:rPr>
        <w:t xml:space="preserve"> time</w:t>
      </w:r>
      <w:r w:rsidR="00704A6F" w:rsidRPr="00117893">
        <w:rPr>
          <w:rFonts w:ascii="Aptos" w:hAnsi="Aptos"/>
        </w:rPr>
        <w:t xml:space="preserve">. </w:t>
      </w:r>
    </w:p>
    <w:p w14:paraId="59A028C8" w14:textId="77777777" w:rsidR="00835CCB" w:rsidRPr="00117893" w:rsidRDefault="00835CCB" w:rsidP="00C33867">
      <w:pPr>
        <w:spacing w:line="240" w:lineRule="auto"/>
        <w:rPr>
          <w:rFonts w:ascii="Aptos" w:hAnsi="Aptos"/>
        </w:rPr>
      </w:pPr>
    </w:p>
    <w:p w14:paraId="57AC2F46" w14:textId="427E18F6" w:rsidR="00A143C3" w:rsidRPr="00117893" w:rsidRDefault="00C73F1A" w:rsidP="00C33867">
      <w:pPr>
        <w:spacing w:line="240" w:lineRule="auto"/>
        <w:rPr>
          <w:rFonts w:ascii="Aptos" w:hAnsi="Aptos"/>
          <w:b/>
          <w:bCs/>
        </w:rPr>
      </w:pPr>
      <w:r w:rsidRPr="00117893">
        <w:rPr>
          <w:rFonts w:ascii="Aptos" w:hAnsi="Aptos"/>
          <w:b/>
          <w:bCs/>
        </w:rPr>
        <w:t xml:space="preserve">Under what circumstances are co-signatures required? </w:t>
      </w:r>
    </w:p>
    <w:p w14:paraId="6E9C3388" w14:textId="7C7A8CAE" w:rsidR="00A143C3" w:rsidRPr="00117893" w:rsidRDefault="0040700A" w:rsidP="00C33867">
      <w:pPr>
        <w:spacing w:line="240" w:lineRule="auto"/>
        <w:rPr>
          <w:rFonts w:ascii="Aptos" w:hAnsi="Aptos"/>
        </w:rPr>
      </w:pPr>
      <w:r w:rsidRPr="00117893">
        <w:rPr>
          <w:rFonts w:ascii="Aptos" w:hAnsi="Aptos"/>
        </w:rPr>
        <w:t>Please r</w:t>
      </w:r>
      <w:r w:rsidR="00A143C3" w:rsidRPr="00117893">
        <w:rPr>
          <w:rFonts w:ascii="Aptos" w:hAnsi="Aptos"/>
        </w:rPr>
        <w:t xml:space="preserve">efer to the </w:t>
      </w:r>
      <w:r w:rsidRPr="00117893">
        <w:rPr>
          <w:rFonts w:ascii="Aptos" w:hAnsi="Aptos"/>
        </w:rPr>
        <w:t xml:space="preserve">updated </w:t>
      </w:r>
      <w:hyperlink r:id="rId6" w:history="1">
        <w:r w:rsidR="009213A0" w:rsidRPr="00117893">
          <w:rPr>
            <w:rStyle w:val="Hyperlink"/>
            <w:rFonts w:ascii="Aptos" w:hAnsi="Aptos"/>
            <w:color w:val="auto"/>
          </w:rPr>
          <w:t>ACBHD Specialty Mental Health Services Scope of Practice Guidelines</w:t>
        </w:r>
      </w:hyperlink>
      <w:r w:rsidR="009213A0" w:rsidRPr="00117893">
        <w:rPr>
          <w:rFonts w:ascii="Aptos" w:hAnsi="Aptos"/>
        </w:rPr>
        <w:t xml:space="preserve"> to determine signature requirements and recommendations based on</w:t>
      </w:r>
      <w:r w:rsidR="00F304D3" w:rsidRPr="00117893">
        <w:rPr>
          <w:rFonts w:ascii="Aptos" w:hAnsi="Aptos"/>
        </w:rPr>
        <w:t xml:space="preserve"> service</w:t>
      </w:r>
      <w:r w:rsidR="00985A93">
        <w:rPr>
          <w:rFonts w:ascii="Aptos" w:hAnsi="Aptos"/>
        </w:rPr>
        <w:t xml:space="preserve"> and</w:t>
      </w:r>
      <w:r w:rsidR="009213A0" w:rsidRPr="00117893">
        <w:rPr>
          <w:rFonts w:ascii="Aptos" w:hAnsi="Aptos"/>
        </w:rPr>
        <w:t xml:space="preserve"> </w:t>
      </w:r>
      <w:r w:rsidR="00E30E7B" w:rsidRPr="00117893">
        <w:rPr>
          <w:rFonts w:ascii="Aptos" w:hAnsi="Aptos"/>
        </w:rPr>
        <w:t>license type and status</w:t>
      </w:r>
      <w:r w:rsidR="00F304D3" w:rsidRPr="00117893">
        <w:rPr>
          <w:rFonts w:ascii="Aptos" w:hAnsi="Aptos"/>
        </w:rPr>
        <w:t>.</w:t>
      </w:r>
    </w:p>
    <w:p w14:paraId="74048ECC" w14:textId="77777777" w:rsidR="0027536C" w:rsidRPr="00117893" w:rsidRDefault="0027536C" w:rsidP="00C33867">
      <w:pPr>
        <w:spacing w:line="240" w:lineRule="auto"/>
        <w:rPr>
          <w:rFonts w:ascii="Aptos" w:hAnsi="Aptos"/>
        </w:rPr>
      </w:pPr>
    </w:p>
    <w:p w14:paraId="30B7C404" w14:textId="54F4BF75" w:rsidR="0096753C" w:rsidRPr="00117893" w:rsidRDefault="00791A9D" w:rsidP="00C33867">
      <w:pPr>
        <w:spacing w:after="0" w:line="240" w:lineRule="auto"/>
        <w:rPr>
          <w:rFonts w:ascii="Aptos" w:eastAsia="Times New Roman" w:hAnsi="Aptos" w:cs="Times New Roman"/>
          <w:b/>
          <w:bCs/>
          <w:kern w:val="0"/>
          <w14:ligatures w14:val="none"/>
        </w:rPr>
      </w:pPr>
      <w:r w:rsidRPr="00117893">
        <w:rPr>
          <w:rFonts w:ascii="Aptos" w:eastAsia="Times New Roman" w:hAnsi="Aptos" w:cs="Times New Roman"/>
          <w:b/>
          <w:bCs/>
          <w:kern w:val="0"/>
          <w14:ligatures w14:val="none"/>
        </w:rPr>
        <w:t>Clinical Trainee Policy</w:t>
      </w:r>
    </w:p>
    <w:p w14:paraId="13E28EEF" w14:textId="77777777" w:rsidR="00117893" w:rsidRPr="00117893" w:rsidRDefault="00117893" w:rsidP="00C33867">
      <w:pPr>
        <w:spacing w:after="0" w:line="240" w:lineRule="auto"/>
        <w:rPr>
          <w:rFonts w:ascii="Aptos" w:hAnsi="Aptos"/>
        </w:rPr>
      </w:pPr>
    </w:p>
    <w:p w14:paraId="5C787A3E" w14:textId="484B82B7" w:rsidR="00791A9D" w:rsidRPr="00117893" w:rsidRDefault="00791A9D" w:rsidP="00C33867">
      <w:pPr>
        <w:spacing w:after="0" w:line="240" w:lineRule="auto"/>
        <w:rPr>
          <w:rFonts w:ascii="Aptos" w:eastAsia="Times New Roman" w:hAnsi="Aptos" w:cs="Times New Roman"/>
          <w:kern w:val="0"/>
          <w14:ligatures w14:val="none"/>
        </w:rPr>
      </w:pPr>
      <w:r w:rsidRPr="00791A9D">
        <w:rPr>
          <w:rFonts w:ascii="Aptos" w:eastAsia="Times New Roman" w:hAnsi="Aptos" w:cs="Times New Roman"/>
          <w:kern w:val="0"/>
          <w14:ligatures w14:val="none"/>
        </w:rPr>
        <w:t xml:space="preserve">In the </w:t>
      </w:r>
      <w:r w:rsidRPr="00117893">
        <w:rPr>
          <w:rFonts w:ascii="Aptos" w:eastAsia="Times New Roman" w:hAnsi="Aptos" w:cs="Times New Roman"/>
          <w:kern w:val="0"/>
          <w14:ligatures w14:val="none"/>
        </w:rPr>
        <w:t>September 13</w:t>
      </w:r>
      <w:r w:rsidRPr="00791A9D">
        <w:rPr>
          <w:rFonts w:ascii="Aptos" w:eastAsia="Times New Roman" w:hAnsi="Aptos" w:cs="Times New Roman"/>
          <w:kern w:val="0"/>
          <w14:ligatures w14:val="none"/>
        </w:rPr>
        <w:t xml:space="preserve">, 2024 Brown Bag meeting, </w:t>
      </w:r>
      <w:r w:rsidR="00A50625" w:rsidRPr="00117893">
        <w:rPr>
          <w:rFonts w:ascii="Aptos" w:eastAsia="Times New Roman" w:hAnsi="Aptos" w:cs="Times New Roman"/>
          <w:kern w:val="0"/>
          <w14:ligatures w14:val="none"/>
        </w:rPr>
        <w:t xml:space="preserve">the </w:t>
      </w:r>
      <w:hyperlink r:id="rId7" w:history="1">
        <w:r w:rsidR="00A50625" w:rsidRPr="00117893">
          <w:rPr>
            <w:rStyle w:val="Hyperlink"/>
            <w:rFonts w:ascii="Aptos" w:eastAsia="Times New Roman" w:hAnsi="Aptos" w:cs="Times New Roman"/>
            <w:color w:val="auto"/>
            <w:kern w:val="0"/>
            <w14:ligatures w14:val="none"/>
          </w:rPr>
          <w:t>Clinical Trainee Policy</w:t>
        </w:r>
      </w:hyperlink>
      <w:r w:rsidR="00A50625" w:rsidRPr="00117893">
        <w:rPr>
          <w:rFonts w:ascii="Aptos" w:eastAsia="Times New Roman" w:hAnsi="Aptos" w:cs="Times New Roman"/>
          <w:kern w:val="0"/>
          <w14:ligatures w14:val="none"/>
        </w:rPr>
        <w:t xml:space="preserve"> was shared. If you have Clinical Trainees practicing in your agency, please familiarize yourself with</w:t>
      </w:r>
      <w:r w:rsidR="00675CA8" w:rsidRPr="00117893">
        <w:rPr>
          <w:rFonts w:ascii="Aptos" w:eastAsia="Times New Roman" w:hAnsi="Aptos" w:cs="Times New Roman"/>
          <w:kern w:val="0"/>
          <w14:ligatures w14:val="none"/>
        </w:rPr>
        <w:t xml:space="preserve"> the new policy and </w:t>
      </w:r>
      <w:r w:rsidR="00BE0B43" w:rsidRPr="00117893">
        <w:rPr>
          <w:rFonts w:ascii="Aptos" w:eastAsia="Times New Roman" w:hAnsi="Aptos" w:cs="Times New Roman"/>
          <w:kern w:val="0"/>
          <w14:ligatures w14:val="none"/>
        </w:rPr>
        <w:t>submit</w:t>
      </w:r>
      <w:r w:rsidR="00675CA8" w:rsidRPr="00117893">
        <w:rPr>
          <w:rFonts w:ascii="Aptos" w:eastAsia="Times New Roman" w:hAnsi="Aptos" w:cs="Times New Roman"/>
          <w:kern w:val="0"/>
          <w14:ligatures w14:val="none"/>
        </w:rPr>
        <w:t xml:space="preserve"> any questions to </w:t>
      </w:r>
      <w:hyperlink r:id="rId8" w:history="1">
        <w:r w:rsidR="00675CA8" w:rsidRPr="00117893">
          <w:rPr>
            <w:rStyle w:val="Hyperlink"/>
            <w:rFonts w:ascii="Aptos" w:eastAsia="Times New Roman" w:hAnsi="Aptos" w:cs="Times New Roman"/>
            <w:color w:val="auto"/>
            <w:kern w:val="0"/>
            <w14:ligatures w14:val="none"/>
          </w:rPr>
          <w:t>QATA@acgov.org</w:t>
        </w:r>
      </w:hyperlink>
      <w:r w:rsidR="00675CA8" w:rsidRPr="00117893">
        <w:rPr>
          <w:rFonts w:ascii="Aptos" w:eastAsia="Times New Roman" w:hAnsi="Aptos" w:cs="Times New Roman"/>
          <w:kern w:val="0"/>
          <w14:ligatures w14:val="none"/>
        </w:rPr>
        <w:t xml:space="preserve">. </w:t>
      </w:r>
    </w:p>
    <w:p w14:paraId="3002B691" w14:textId="77777777" w:rsidR="00791A9D" w:rsidRPr="00117893" w:rsidRDefault="00791A9D" w:rsidP="00C33867">
      <w:pPr>
        <w:spacing w:line="240" w:lineRule="auto"/>
        <w:rPr>
          <w:rFonts w:ascii="Aptos" w:hAnsi="Aptos"/>
        </w:rPr>
      </w:pPr>
    </w:p>
    <w:p w14:paraId="695F9EEC" w14:textId="77777777" w:rsidR="000A3214" w:rsidRPr="00117893" w:rsidRDefault="000A3214" w:rsidP="00C33867">
      <w:pPr>
        <w:spacing w:line="240" w:lineRule="auto"/>
        <w:rPr>
          <w:rFonts w:ascii="Aptos" w:hAnsi="Aptos"/>
        </w:rPr>
      </w:pPr>
    </w:p>
    <w:sectPr w:rsidR="000A3214" w:rsidRPr="001178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B7"/>
    <w:rsid w:val="000821B1"/>
    <w:rsid w:val="000A3214"/>
    <w:rsid w:val="000D2062"/>
    <w:rsid w:val="000E073B"/>
    <w:rsid w:val="00106F07"/>
    <w:rsid w:val="00117893"/>
    <w:rsid w:val="0012077B"/>
    <w:rsid w:val="001632B8"/>
    <w:rsid w:val="00164DCD"/>
    <w:rsid w:val="00170064"/>
    <w:rsid w:val="001D6FE3"/>
    <w:rsid w:val="002417FD"/>
    <w:rsid w:val="0025096C"/>
    <w:rsid w:val="0027536C"/>
    <w:rsid w:val="00292CE7"/>
    <w:rsid w:val="00294772"/>
    <w:rsid w:val="002959BE"/>
    <w:rsid w:val="003058A4"/>
    <w:rsid w:val="003567C4"/>
    <w:rsid w:val="003D1852"/>
    <w:rsid w:val="0040126F"/>
    <w:rsid w:val="0040700A"/>
    <w:rsid w:val="0044565A"/>
    <w:rsid w:val="004528DB"/>
    <w:rsid w:val="00487661"/>
    <w:rsid w:val="004B5C73"/>
    <w:rsid w:val="004E7334"/>
    <w:rsid w:val="00584684"/>
    <w:rsid w:val="005B537F"/>
    <w:rsid w:val="00600D1A"/>
    <w:rsid w:val="00626C53"/>
    <w:rsid w:val="006322B5"/>
    <w:rsid w:val="0065401D"/>
    <w:rsid w:val="00665D19"/>
    <w:rsid w:val="00675CA8"/>
    <w:rsid w:val="006862DE"/>
    <w:rsid w:val="006B6D3A"/>
    <w:rsid w:val="00704A6F"/>
    <w:rsid w:val="00716CD5"/>
    <w:rsid w:val="007240B5"/>
    <w:rsid w:val="007263EE"/>
    <w:rsid w:val="00740AF1"/>
    <w:rsid w:val="007616CF"/>
    <w:rsid w:val="007802D1"/>
    <w:rsid w:val="00791A9D"/>
    <w:rsid w:val="007C11C4"/>
    <w:rsid w:val="007D74B7"/>
    <w:rsid w:val="007D7AD5"/>
    <w:rsid w:val="008000BA"/>
    <w:rsid w:val="00835CCB"/>
    <w:rsid w:val="008B51A4"/>
    <w:rsid w:val="009213A0"/>
    <w:rsid w:val="0096753C"/>
    <w:rsid w:val="00985A93"/>
    <w:rsid w:val="009A194D"/>
    <w:rsid w:val="00A06221"/>
    <w:rsid w:val="00A143C3"/>
    <w:rsid w:val="00A50625"/>
    <w:rsid w:val="00A67CF2"/>
    <w:rsid w:val="00A925E9"/>
    <w:rsid w:val="00B8481F"/>
    <w:rsid w:val="00B91692"/>
    <w:rsid w:val="00BB6E6A"/>
    <w:rsid w:val="00BE0B43"/>
    <w:rsid w:val="00C33867"/>
    <w:rsid w:val="00C73F1A"/>
    <w:rsid w:val="00CC3659"/>
    <w:rsid w:val="00D01D0B"/>
    <w:rsid w:val="00D11343"/>
    <w:rsid w:val="00D84B27"/>
    <w:rsid w:val="00DC7D01"/>
    <w:rsid w:val="00E0123A"/>
    <w:rsid w:val="00E30E7B"/>
    <w:rsid w:val="00E7144D"/>
    <w:rsid w:val="00E960A7"/>
    <w:rsid w:val="00F266BF"/>
    <w:rsid w:val="00F304D3"/>
    <w:rsid w:val="00F50571"/>
    <w:rsid w:val="00F5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CBD26"/>
  <w15:chartTrackingRefBased/>
  <w15:docId w15:val="{0FB90D9D-B14E-4AFF-8F27-FFCD7021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Calibr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74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74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74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74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74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74B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74B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74B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74B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74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74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74B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74B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74B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74B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74B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74B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74B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74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74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74B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74B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74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74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74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74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74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74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74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194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194D"/>
    <w:rPr>
      <w:color w:val="605E5C"/>
      <w:shd w:val="clear" w:color="auto" w:fill="E1DFDD"/>
    </w:rPr>
  </w:style>
  <w:style w:type="character" w:customStyle="1" w:styleId="font161">
    <w:name w:val="font161"/>
    <w:basedOn w:val="DefaultParagraphFont"/>
    <w:rsid w:val="00791A9D"/>
    <w:rPr>
      <w:rFonts w:ascii="Tw Cen MT" w:hAnsi="Tw Cen MT" w:hint="default"/>
      <w:b w:val="0"/>
      <w:bCs w:val="0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customStyle="1" w:styleId="font241">
    <w:name w:val="font241"/>
    <w:basedOn w:val="DefaultParagraphFont"/>
    <w:rsid w:val="00791A9D"/>
    <w:rPr>
      <w:rFonts w:ascii="Tw Cen MT" w:hAnsi="Tw Cen MT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BE0B43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DC7D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4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8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5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ATA@acgov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hcsproviders.acgov.org/providers/PP/1603-3-3_ACBHD_Clinical_Trainee_Policy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hcsproviders.acgov.org/providers/QA/docs/qa_manual/12-3_ACBHD_Guidelines_for_Scope_of_Practice(MH)_rev5-17-24.pdf" TargetMode="External"/><Relationship Id="rId5" Type="http://schemas.openxmlformats.org/officeDocument/2006/relationships/hyperlink" Target="https://www.dhcs.ca.gov/Documents/SMHS-Billing-Manual-May-2024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dhcs.ca.gov/CalAIM/Documents/CalAIM-JI-a11y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Mares, Jeri, ACBH</dc:creator>
  <cp:keywords/>
  <dc:description/>
  <cp:lastModifiedBy>Mares, Jeri, ACBH</cp:lastModifiedBy>
  <cp:revision>2</cp:revision>
  <dcterms:created xsi:type="dcterms:W3CDTF">2024-09-24T18:17:00Z</dcterms:created>
  <dcterms:modified xsi:type="dcterms:W3CDTF">2024-09-24T18:17:00Z</dcterms:modified>
</cp:coreProperties>
</file>