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07911" w14:textId="77777777" w:rsidR="00E9199C" w:rsidRPr="003A384A" w:rsidRDefault="00E9199C" w:rsidP="008A3EA3">
      <w:pPr>
        <w:spacing w:line="300" w:lineRule="auto"/>
        <w:ind w:left="-540" w:right="-540"/>
        <w:jc w:val="center"/>
        <w:rPr>
          <w:rFonts w:ascii="Arial" w:hAnsi="Arial"/>
          <w:sz w:val="20"/>
          <w:szCs w:val="20"/>
        </w:rPr>
      </w:pPr>
      <w:r w:rsidRPr="003A384A">
        <w:rPr>
          <w:rFonts w:ascii="Arial" w:hAnsi="Arial"/>
          <w:sz w:val="20"/>
          <w:szCs w:val="20"/>
        </w:rPr>
        <w:t>POLICY REVISION HIGHLIGHTS</w:t>
      </w:r>
    </w:p>
    <w:p w14:paraId="63E2F37E" w14:textId="77777777" w:rsidR="00C36EE2" w:rsidRPr="003A384A" w:rsidRDefault="00C36EE2" w:rsidP="008A3EA3">
      <w:pPr>
        <w:spacing w:line="300" w:lineRule="auto"/>
        <w:ind w:left="-540" w:right="-540"/>
        <w:jc w:val="center"/>
        <w:rPr>
          <w:rFonts w:ascii="Arial" w:hAnsi="Arial"/>
          <w:sz w:val="20"/>
          <w:szCs w:val="20"/>
        </w:rPr>
      </w:pPr>
      <w:r w:rsidRPr="003A384A">
        <w:rPr>
          <w:rFonts w:ascii="Arial" w:hAnsi="Arial"/>
          <w:sz w:val="20"/>
          <w:szCs w:val="20"/>
        </w:rPr>
        <w:t>Notices of Adverse Benefit Determination for Medi-Cal Beneficiaries</w:t>
      </w:r>
    </w:p>
    <w:p w14:paraId="732D50E5" w14:textId="416D3052" w:rsidR="00C36EE2" w:rsidRPr="003A384A" w:rsidRDefault="008A3EA3" w:rsidP="008A3EA3">
      <w:pPr>
        <w:tabs>
          <w:tab w:val="center" w:pos="4680"/>
          <w:tab w:val="left" w:pos="8715"/>
        </w:tabs>
        <w:spacing w:line="300" w:lineRule="auto"/>
        <w:ind w:left="-540" w:right="-540"/>
        <w:rPr>
          <w:rFonts w:ascii="Arial" w:hAnsi="Arial"/>
          <w:sz w:val="20"/>
          <w:szCs w:val="20"/>
        </w:rPr>
      </w:pPr>
      <w:r>
        <w:rPr>
          <w:rFonts w:ascii="Arial" w:hAnsi="Arial"/>
          <w:sz w:val="20"/>
          <w:szCs w:val="20"/>
        </w:rPr>
        <w:tab/>
      </w:r>
      <w:r w:rsidR="00C36EE2" w:rsidRPr="003A384A">
        <w:rPr>
          <w:rFonts w:ascii="Arial" w:hAnsi="Arial"/>
          <w:sz w:val="20"/>
          <w:szCs w:val="20"/>
        </w:rPr>
        <w:t>February 25, 2019</w:t>
      </w:r>
      <w:r>
        <w:rPr>
          <w:rFonts w:ascii="Arial" w:hAnsi="Arial"/>
          <w:sz w:val="20"/>
          <w:szCs w:val="20"/>
        </w:rPr>
        <w:tab/>
      </w:r>
    </w:p>
    <w:p w14:paraId="10FF5395" w14:textId="77777777" w:rsidR="00C36EE2" w:rsidRPr="003A384A" w:rsidRDefault="00C36EE2" w:rsidP="008A3EA3">
      <w:pPr>
        <w:spacing w:line="300" w:lineRule="auto"/>
        <w:ind w:left="-540" w:right="-540"/>
        <w:jc w:val="center"/>
        <w:rPr>
          <w:rFonts w:ascii="Arial" w:hAnsi="Arial"/>
          <w:sz w:val="20"/>
          <w:szCs w:val="20"/>
        </w:rPr>
      </w:pPr>
    </w:p>
    <w:p w14:paraId="2E3642E9" w14:textId="77777777" w:rsidR="00C36EE2" w:rsidRPr="003A384A" w:rsidRDefault="00C36EE2" w:rsidP="00521C13">
      <w:pPr>
        <w:spacing w:line="300" w:lineRule="auto"/>
        <w:ind w:left="-450" w:right="-360"/>
        <w:rPr>
          <w:rFonts w:ascii="Arial" w:hAnsi="Arial"/>
          <w:b/>
          <w:sz w:val="20"/>
          <w:szCs w:val="20"/>
          <w:u w:val="single"/>
        </w:rPr>
      </w:pPr>
      <w:r w:rsidRPr="003A384A">
        <w:rPr>
          <w:rFonts w:ascii="Arial" w:hAnsi="Arial"/>
          <w:b/>
          <w:sz w:val="20"/>
          <w:szCs w:val="20"/>
          <w:u w:val="single"/>
        </w:rPr>
        <w:t>Policy Revision Summary</w:t>
      </w:r>
    </w:p>
    <w:p w14:paraId="0C1F958F" w14:textId="19773778" w:rsidR="00934FA7" w:rsidRPr="003A384A" w:rsidRDefault="003917EE" w:rsidP="00521C13">
      <w:pPr>
        <w:spacing w:line="300" w:lineRule="auto"/>
        <w:ind w:left="-446" w:right="-360"/>
        <w:rPr>
          <w:rFonts w:ascii="Arial" w:hAnsi="Arial"/>
          <w:sz w:val="20"/>
          <w:szCs w:val="20"/>
        </w:rPr>
      </w:pPr>
      <w:r w:rsidRPr="003A384A">
        <w:rPr>
          <w:rFonts w:ascii="Arial" w:hAnsi="Arial"/>
          <w:sz w:val="20"/>
          <w:szCs w:val="20"/>
        </w:rPr>
        <w:t xml:space="preserve">This policy </w:t>
      </w:r>
      <w:r w:rsidR="00BD24AE" w:rsidRPr="003A384A">
        <w:rPr>
          <w:rFonts w:ascii="Arial" w:hAnsi="Arial"/>
          <w:sz w:val="20"/>
          <w:szCs w:val="20"/>
        </w:rPr>
        <w:t xml:space="preserve">replaces the </w:t>
      </w:r>
      <w:r w:rsidR="00B113B9" w:rsidRPr="003A384A">
        <w:rPr>
          <w:rFonts w:ascii="Arial" w:hAnsi="Arial"/>
          <w:sz w:val="20"/>
          <w:szCs w:val="20"/>
        </w:rPr>
        <w:t xml:space="preserve">former Notices of Action for Medi-Cal Beneficiaries (Policy No: 300-1-2, Dated: 12/5/16).  Revisions bring ACBH into compliance with </w:t>
      </w:r>
      <w:r w:rsidR="007F4B03" w:rsidRPr="003A384A">
        <w:rPr>
          <w:rFonts w:ascii="Arial" w:hAnsi="Arial"/>
          <w:sz w:val="20"/>
          <w:szCs w:val="20"/>
        </w:rPr>
        <w:t>the CMS Final Rule federal grievance and appeal system requirements</w:t>
      </w:r>
      <w:r w:rsidR="007D68A6" w:rsidRPr="003A384A">
        <w:rPr>
          <w:rFonts w:ascii="Arial" w:hAnsi="Arial"/>
          <w:sz w:val="20"/>
          <w:szCs w:val="20"/>
        </w:rPr>
        <w:t xml:space="preserve"> </w:t>
      </w:r>
      <w:r w:rsidR="0062174F">
        <w:rPr>
          <w:rFonts w:ascii="Arial" w:hAnsi="Arial"/>
          <w:sz w:val="20"/>
          <w:szCs w:val="20"/>
        </w:rPr>
        <w:t>per</w:t>
      </w:r>
      <w:r w:rsidR="007D68A6" w:rsidRPr="003A384A">
        <w:rPr>
          <w:rFonts w:ascii="Arial" w:hAnsi="Arial"/>
          <w:sz w:val="20"/>
          <w:szCs w:val="20"/>
        </w:rPr>
        <w:t xml:space="preserve"> </w:t>
      </w:r>
      <w:r w:rsidR="007D68A6" w:rsidRPr="003A384A">
        <w:rPr>
          <w:rFonts w:ascii="Arial" w:hAnsi="Arial"/>
          <w:sz w:val="20"/>
          <w:szCs w:val="20"/>
        </w:rPr>
        <w:t>MHSUDS Information Notice No. 18-010E</w:t>
      </w:r>
      <w:r w:rsidR="007D68A6" w:rsidRPr="003A384A">
        <w:rPr>
          <w:rFonts w:ascii="Arial" w:hAnsi="Arial"/>
          <w:sz w:val="20"/>
          <w:szCs w:val="20"/>
        </w:rPr>
        <w:t>, as it relates to written beneficiary notification of when an adverse benefit determination is made by ACBH or Contractor for specialty mental health or substance use disorder treatment services.</w:t>
      </w:r>
      <w:r w:rsidR="00D715F3" w:rsidRPr="003A384A">
        <w:rPr>
          <w:rFonts w:ascii="Arial" w:hAnsi="Arial"/>
          <w:sz w:val="20"/>
          <w:szCs w:val="20"/>
        </w:rPr>
        <w:t xml:space="preserve"> </w:t>
      </w:r>
      <w:r w:rsidR="006950BB" w:rsidRPr="003A384A">
        <w:rPr>
          <w:rFonts w:ascii="Arial" w:hAnsi="Arial"/>
          <w:sz w:val="20"/>
          <w:szCs w:val="20"/>
        </w:rPr>
        <w:t xml:space="preserve"> </w:t>
      </w:r>
      <w:r w:rsidR="00873160" w:rsidRPr="003A384A">
        <w:rPr>
          <w:rFonts w:ascii="Arial" w:hAnsi="Arial"/>
          <w:sz w:val="20"/>
          <w:szCs w:val="20"/>
        </w:rPr>
        <w:t>Major revisions to the policy include:</w:t>
      </w:r>
    </w:p>
    <w:p w14:paraId="5B19A101" w14:textId="77777777" w:rsidR="00BF4EE2" w:rsidRPr="003A384A" w:rsidRDefault="00BF4EE2" w:rsidP="00521C13">
      <w:pPr>
        <w:spacing w:line="300" w:lineRule="auto"/>
        <w:ind w:left="-450" w:right="-360"/>
        <w:rPr>
          <w:rFonts w:ascii="Arial" w:hAnsi="Arial"/>
          <w:sz w:val="20"/>
          <w:szCs w:val="20"/>
        </w:rPr>
      </w:pPr>
    </w:p>
    <w:p w14:paraId="1174C242" w14:textId="4CE122D1" w:rsidR="009964E3" w:rsidRPr="003A384A" w:rsidRDefault="002C7FF8" w:rsidP="00521C13">
      <w:pPr>
        <w:pStyle w:val="ListParagraph"/>
        <w:numPr>
          <w:ilvl w:val="0"/>
          <w:numId w:val="2"/>
        </w:numPr>
        <w:spacing w:line="300" w:lineRule="auto"/>
        <w:ind w:right="-360" w:hanging="540"/>
        <w:rPr>
          <w:rFonts w:ascii="Arial" w:hAnsi="Arial" w:cs="Arial"/>
          <w:sz w:val="20"/>
          <w:szCs w:val="20"/>
        </w:rPr>
      </w:pPr>
      <w:r w:rsidRPr="003A384A">
        <w:rPr>
          <w:rFonts w:ascii="Arial" w:hAnsi="Arial" w:cs="Arial"/>
          <w:sz w:val="20"/>
          <w:szCs w:val="20"/>
        </w:rPr>
        <w:t>Retitling the policy to “Notices of Adverse Benefit Determination for Medi-Cal Beneficiaries” since t</w:t>
      </w:r>
      <w:r w:rsidR="00B25A68" w:rsidRPr="003A384A">
        <w:rPr>
          <w:rFonts w:ascii="Arial" w:hAnsi="Arial" w:cs="Arial"/>
          <w:sz w:val="20"/>
          <w:szCs w:val="20"/>
        </w:rPr>
        <w:t>he Final Rule replaced the term “Action” with “Adverse Benefit Determination</w:t>
      </w:r>
      <w:r w:rsidRPr="003A384A">
        <w:rPr>
          <w:rFonts w:ascii="Arial" w:hAnsi="Arial" w:cs="Arial"/>
          <w:sz w:val="20"/>
          <w:szCs w:val="20"/>
        </w:rPr>
        <w:t xml:space="preserve">. </w:t>
      </w:r>
    </w:p>
    <w:p w14:paraId="6BFEE668" w14:textId="3ED90970" w:rsidR="00B25A68" w:rsidRPr="003A384A" w:rsidRDefault="004C565A" w:rsidP="00521C13">
      <w:pPr>
        <w:pStyle w:val="ListParagraph"/>
        <w:numPr>
          <w:ilvl w:val="0"/>
          <w:numId w:val="2"/>
        </w:numPr>
        <w:autoSpaceDE w:val="0"/>
        <w:autoSpaceDN w:val="0"/>
        <w:adjustRightInd w:val="0"/>
        <w:spacing w:line="300" w:lineRule="auto"/>
        <w:ind w:right="-360" w:hanging="540"/>
        <w:rPr>
          <w:rFonts w:ascii="Arial" w:hAnsi="Arial" w:cs="Arial"/>
          <w:sz w:val="20"/>
          <w:szCs w:val="20"/>
        </w:rPr>
      </w:pPr>
      <w:r w:rsidRPr="003A384A">
        <w:rPr>
          <w:rFonts w:ascii="Arial" w:eastAsia="Calibri" w:hAnsi="Arial" w:cs="Arial"/>
          <w:color w:val="000000"/>
          <w:sz w:val="20"/>
          <w:szCs w:val="20"/>
        </w:rPr>
        <w:t>A broader and</w:t>
      </w:r>
      <w:r w:rsidR="004839AA" w:rsidRPr="003A384A">
        <w:rPr>
          <w:rFonts w:ascii="Arial" w:eastAsia="Calibri" w:hAnsi="Arial" w:cs="Arial"/>
          <w:color w:val="000000"/>
          <w:sz w:val="20"/>
          <w:szCs w:val="20"/>
        </w:rPr>
        <w:t xml:space="preserve"> clarified definition</w:t>
      </w:r>
      <w:r w:rsidRPr="003A384A">
        <w:rPr>
          <w:rFonts w:ascii="Arial" w:eastAsia="Calibri" w:hAnsi="Arial" w:cs="Arial"/>
          <w:color w:val="000000"/>
          <w:sz w:val="20"/>
          <w:szCs w:val="20"/>
        </w:rPr>
        <w:t xml:space="preserve"> of</w:t>
      </w:r>
      <w:r w:rsidR="00934FA7" w:rsidRPr="003A384A">
        <w:rPr>
          <w:rFonts w:ascii="Arial" w:eastAsia="Calibri" w:hAnsi="Arial" w:cs="Arial"/>
          <w:color w:val="000000"/>
          <w:sz w:val="20"/>
          <w:szCs w:val="20"/>
        </w:rPr>
        <w:t xml:space="preserve"> “Adverse Benefit Determination</w:t>
      </w:r>
      <w:r w:rsidR="004839AA" w:rsidRPr="003A384A">
        <w:rPr>
          <w:rFonts w:ascii="Arial" w:eastAsia="Calibri" w:hAnsi="Arial" w:cs="Arial"/>
          <w:color w:val="000000"/>
          <w:sz w:val="20"/>
          <w:szCs w:val="20"/>
        </w:rPr>
        <w:t>,</w:t>
      </w:r>
      <w:r w:rsidR="00934FA7" w:rsidRPr="003A384A">
        <w:rPr>
          <w:rFonts w:ascii="Arial" w:eastAsia="Calibri" w:hAnsi="Arial" w:cs="Arial"/>
          <w:color w:val="000000"/>
          <w:sz w:val="20"/>
          <w:szCs w:val="20"/>
        </w:rPr>
        <w:t xml:space="preserve">” </w:t>
      </w:r>
      <w:r w:rsidR="004839AA" w:rsidRPr="003A384A">
        <w:rPr>
          <w:rFonts w:ascii="Arial" w:eastAsia="Calibri" w:hAnsi="Arial" w:cs="Arial"/>
          <w:color w:val="000000"/>
          <w:sz w:val="20"/>
          <w:szCs w:val="20"/>
        </w:rPr>
        <w:t xml:space="preserve">which </w:t>
      </w:r>
      <w:r w:rsidR="00934FA7" w:rsidRPr="003A384A">
        <w:rPr>
          <w:rFonts w:ascii="Arial" w:eastAsia="Calibri" w:hAnsi="Arial" w:cs="Arial"/>
          <w:color w:val="000000"/>
          <w:sz w:val="20"/>
          <w:szCs w:val="20"/>
        </w:rPr>
        <w:t xml:space="preserve">encompasses all previous elements of “Action” under federal regulations, with the addition of language that clarifies the inclusion of determinations involving medical necessity, appropriateness and setting of covered benefits, and financial liability.  </w:t>
      </w:r>
    </w:p>
    <w:p w14:paraId="5449FAC8" w14:textId="1155CADE" w:rsidR="00613E25" w:rsidRPr="003A384A" w:rsidRDefault="00613E25" w:rsidP="00521C13">
      <w:pPr>
        <w:pStyle w:val="ListParagraph"/>
        <w:numPr>
          <w:ilvl w:val="0"/>
          <w:numId w:val="2"/>
        </w:numPr>
        <w:autoSpaceDE w:val="0"/>
        <w:autoSpaceDN w:val="0"/>
        <w:adjustRightInd w:val="0"/>
        <w:spacing w:line="300" w:lineRule="auto"/>
        <w:ind w:right="-360" w:hanging="540"/>
        <w:rPr>
          <w:rFonts w:ascii="Arial" w:hAnsi="Arial" w:cs="Arial"/>
          <w:sz w:val="20"/>
          <w:szCs w:val="20"/>
        </w:rPr>
      </w:pPr>
      <w:r w:rsidRPr="003A384A">
        <w:rPr>
          <w:rFonts w:ascii="Arial" w:eastAsia="Calibri" w:hAnsi="Arial" w:cs="Arial"/>
          <w:color w:val="000000"/>
          <w:sz w:val="20"/>
          <w:szCs w:val="20"/>
        </w:rPr>
        <w:t>Replacement of five (5) Notice of Action (NOA) templates with nine (9) Notice of Adverse Benefit Determination (NOABD) templates.</w:t>
      </w:r>
    </w:p>
    <w:p w14:paraId="0E8B4EAC" w14:textId="5779196D" w:rsidR="00613E25" w:rsidRPr="003A384A" w:rsidRDefault="00613E25" w:rsidP="00521C13">
      <w:pPr>
        <w:pStyle w:val="ListParagraph"/>
        <w:numPr>
          <w:ilvl w:val="0"/>
          <w:numId w:val="2"/>
        </w:numPr>
        <w:autoSpaceDE w:val="0"/>
        <w:autoSpaceDN w:val="0"/>
        <w:adjustRightInd w:val="0"/>
        <w:spacing w:line="300" w:lineRule="auto"/>
        <w:ind w:right="-360" w:hanging="540"/>
        <w:rPr>
          <w:rFonts w:ascii="Arial" w:hAnsi="Arial" w:cs="Arial"/>
          <w:sz w:val="20"/>
          <w:szCs w:val="20"/>
        </w:rPr>
      </w:pPr>
      <w:r w:rsidRPr="003A384A">
        <w:rPr>
          <w:rFonts w:ascii="Arial" w:eastAsia="Calibri" w:hAnsi="Arial" w:cs="Arial"/>
          <w:color w:val="000000"/>
          <w:sz w:val="20"/>
          <w:szCs w:val="20"/>
        </w:rPr>
        <w:t>Replacement of the NOA-BACK, which informed beneficiaries of their right</w:t>
      </w:r>
      <w:r w:rsidR="00002B62" w:rsidRPr="003A384A">
        <w:rPr>
          <w:rFonts w:ascii="Arial" w:eastAsia="Calibri" w:hAnsi="Arial" w:cs="Arial"/>
          <w:color w:val="000000"/>
          <w:sz w:val="20"/>
          <w:szCs w:val="20"/>
        </w:rPr>
        <w:t>s</w:t>
      </w:r>
      <w:r w:rsidRPr="003A384A">
        <w:rPr>
          <w:rFonts w:ascii="Arial" w:eastAsia="Calibri" w:hAnsi="Arial" w:cs="Arial"/>
          <w:color w:val="000000"/>
          <w:sz w:val="20"/>
          <w:szCs w:val="20"/>
        </w:rPr>
        <w:t>, with three (3) NOABD enclosures:  Your Rights, Beneficiary Non-Discrimination Notice, Language Assistance Taglines.</w:t>
      </w:r>
    </w:p>
    <w:p w14:paraId="46CF2D9E" w14:textId="5211E466" w:rsidR="00613E25" w:rsidRPr="003A384A" w:rsidRDefault="003B56BC" w:rsidP="00521C13">
      <w:pPr>
        <w:pStyle w:val="ListParagraph"/>
        <w:numPr>
          <w:ilvl w:val="0"/>
          <w:numId w:val="2"/>
        </w:numPr>
        <w:autoSpaceDE w:val="0"/>
        <w:autoSpaceDN w:val="0"/>
        <w:adjustRightInd w:val="0"/>
        <w:spacing w:line="300" w:lineRule="auto"/>
        <w:ind w:right="-360" w:hanging="540"/>
        <w:rPr>
          <w:rFonts w:ascii="Arial" w:hAnsi="Arial" w:cs="Arial"/>
          <w:sz w:val="20"/>
          <w:szCs w:val="20"/>
        </w:rPr>
      </w:pPr>
      <w:r w:rsidRPr="003A384A">
        <w:rPr>
          <w:rFonts w:ascii="Arial" w:eastAsia="Calibri" w:hAnsi="Arial" w:cs="Arial"/>
          <w:color w:val="000000"/>
          <w:sz w:val="20"/>
          <w:szCs w:val="20"/>
        </w:rPr>
        <w:t>More expansive and individualized w</w:t>
      </w:r>
      <w:r w:rsidR="007631FC" w:rsidRPr="003A384A">
        <w:rPr>
          <w:rFonts w:ascii="Arial" w:eastAsia="Calibri" w:hAnsi="Arial" w:cs="Arial"/>
          <w:color w:val="000000"/>
          <w:sz w:val="20"/>
          <w:szCs w:val="20"/>
        </w:rPr>
        <w:t xml:space="preserve">ritten NOABD requirements </w:t>
      </w:r>
      <w:r w:rsidR="00BF4EE2" w:rsidRPr="003A384A">
        <w:rPr>
          <w:rFonts w:ascii="Arial" w:eastAsia="Calibri" w:hAnsi="Arial" w:cs="Arial"/>
          <w:color w:val="000000"/>
          <w:sz w:val="20"/>
          <w:szCs w:val="20"/>
        </w:rPr>
        <w:t xml:space="preserve">that clearly indicate the </w:t>
      </w:r>
      <w:r w:rsidRPr="003A384A">
        <w:rPr>
          <w:rFonts w:ascii="Arial" w:eastAsia="Calibri" w:hAnsi="Arial" w:cs="Arial"/>
          <w:color w:val="000000"/>
          <w:sz w:val="20"/>
          <w:szCs w:val="20"/>
        </w:rPr>
        <w:t>adverse ben</w:t>
      </w:r>
      <w:r w:rsidR="00BF4EE2" w:rsidRPr="003A384A">
        <w:rPr>
          <w:rFonts w:ascii="Arial" w:eastAsia="Calibri" w:hAnsi="Arial" w:cs="Arial"/>
          <w:color w:val="000000"/>
          <w:sz w:val="20"/>
          <w:szCs w:val="20"/>
        </w:rPr>
        <w:t>efit determination</w:t>
      </w:r>
      <w:r w:rsidRPr="003A384A">
        <w:rPr>
          <w:rFonts w:ascii="Arial" w:eastAsia="Calibri" w:hAnsi="Arial" w:cs="Arial"/>
          <w:color w:val="000000"/>
          <w:sz w:val="20"/>
          <w:szCs w:val="20"/>
        </w:rPr>
        <w:t xml:space="preserve">, to </w:t>
      </w:r>
      <w:r w:rsidR="001E49E4" w:rsidRPr="003A384A">
        <w:rPr>
          <w:rFonts w:ascii="Arial" w:eastAsia="Calibri" w:hAnsi="Arial" w:cs="Arial"/>
          <w:color w:val="000000"/>
          <w:sz w:val="20"/>
          <w:szCs w:val="20"/>
        </w:rPr>
        <w:t>include the basis, beneficiary rights, and specific contact information of the NOABD issuer.</w:t>
      </w:r>
    </w:p>
    <w:p w14:paraId="2C0BD99D" w14:textId="0FF14B1E" w:rsidR="004C565A" w:rsidRPr="003A384A" w:rsidRDefault="004C565A" w:rsidP="00521C13">
      <w:pPr>
        <w:pStyle w:val="ListParagraph"/>
        <w:numPr>
          <w:ilvl w:val="0"/>
          <w:numId w:val="5"/>
        </w:numPr>
        <w:autoSpaceDE w:val="0"/>
        <w:autoSpaceDN w:val="0"/>
        <w:adjustRightInd w:val="0"/>
        <w:spacing w:line="300" w:lineRule="auto"/>
        <w:ind w:right="-360" w:hanging="540"/>
        <w:rPr>
          <w:rFonts w:ascii="Arial" w:hAnsi="Arial" w:cs="Arial"/>
          <w:sz w:val="20"/>
          <w:szCs w:val="20"/>
        </w:rPr>
      </w:pPr>
      <w:r w:rsidRPr="003A384A">
        <w:rPr>
          <w:rFonts w:ascii="Arial" w:hAnsi="Arial" w:cs="Arial"/>
          <w:sz w:val="20"/>
          <w:szCs w:val="20"/>
        </w:rPr>
        <w:t xml:space="preserve">Timeliness standards to provide written NOABDs to Medi-Cal beneficiaries and notification to providers.  </w:t>
      </w:r>
    </w:p>
    <w:p w14:paraId="1C59C226" w14:textId="63FB746E" w:rsidR="00C36EE2" w:rsidRPr="003A384A" w:rsidRDefault="007E2D95" w:rsidP="00521C13">
      <w:pPr>
        <w:pStyle w:val="ListParagraph"/>
        <w:numPr>
          <w:ilvl w:val="0"/>
          <w:numId w:val="5"/>
        </w:numPr>
        <w:autoSpaceDE w:val="0"/>
        <w:autoSpaceDN w:val="0"/>
        <w:adjustRightInd w:val="0"/>
        <w:spacing w:line="300" w:lineRule="auto"/>
        <w:ind w:right="-360" w:hanging="540"/>
        <w:rPr>
          <w:rFonts w:ascii="Arial" w:hAnsi="Arial" w:cs="Arial"/>
          <w:sz w:val="20"/>
          <w:szCs w:val="20"/>
        </w:rPr>
      </w:pPr>
      <w:r w:rsidRPr="003A384A">
        <w:rPr>
          <w:rFonts w:ascii="Arial" w:hAnsi="Arial" w:cs="Arial"/>
          <w:sz w:val="20"/>
          <w:szCs w:val="20"/>
        </w:rPr>
        <w:t>Inclusion of a one-page NOABD Table that will serve as a reference guide for the nine (9) NOABD templates.</w:t>
      </w:r>
    </w:p>
    <w:p w14:paraId="40AE9333" w14:textId="77777777" w:rsidR="003A384A" w:rsidRPr="003A384A" w:rsidRDefault="003A384A" w:rsidP="00521C13">
      <w:pPr>
        <w:pStyle w:val="ListParagraph"/>
        <w:autoSpaceDE w:val="0"/>
        <w:autoSpaceDN w:val="0"/>
        <w:adjustRightInd w:val="0"/>
        <w:spacing w:line="300" w:lineRule="auto"/>
        <w:ind w:left="-450" w:right="-360"/>
        <w:rPr>
          <w:rFonts w:ascii="Arial" w:hAnsi="Arial" w:cs="Arial"/>
          <w:sz w:val="20"/>
          <w:szCs w:val="20"/>
        </w:rPr>
      </w:pPr>
    </w:p>
    <w:p w14:paraId="3A79EF3E" w14:textId="77777777" w:rsidR="00C36EE2" w:rsidRPr="003A384A" w:rsidRDefault="00C36EE2" w:rsidP="00521C13">
      <w:pPr>
        <w:spacing w:line="300" w:lineRule="auto"/>
        <w:ind w:left="-450" w:right="-360"/>
        <w:rPr>
          <w:rFonts w:ascii="Arial" w:hAnsi="Arial"/>
          <w:b/>
          <w:sz w:val="20"/>
          <w:szCs w:val="20"/>
          <w:u w:val="single"/>
        </w:rPr>
      </w:pPr>
      <w:r w:rsidRPr="003A384A">
        <w:rPr>
          <w:rFonts w:ascii="Arial" w:hAnsi="Arial"/>
          <w:b/>
          <w:sz w:val="20"/>
          <w:szCs w:val="20"/>
          <w:u w:val="single"/>
        </w:rPr>
        <w:t>Impact on ACBH, Contractors and Consumers</w:t>
      </w:r>
    </w:p>
    <w:p w14:paraId="78AB1F1D" w14:textId="4BA3EB78" w:rsidR="00C36EE2" w:rsidRPr="003A384A" w:rsidRDefault="003917EE" w:rsidP="00521C13">
      <w:pPr>
        <w:spacing w:line="300" w:lineRule="auto"/>
        <w:ind w:left="-450" w:right="-360"/>
        <w:rPr>
          <w:rFonts w:ascii="Arial" w:hAnsi="Arial"/>
          <w:sz w:val="20"/>
          <w:szCs w:val="20"/>
        </w:rPr>
      </w:pPr>
      <w:r w:rsidRPr="003A384A">
        <w:rPr>
          <w:rFonts w:ascii="Arial" w:hAnsi="Arial"/>
          <w:sz w:val="20"/>
          <w:szCs w:val="20"/>
          <w:u w:val="single"/>
        </w:rPr>
        <w:t>Imp</w:t>
      </w:r>
      <w:r w:rsidR="009841B8" w:rsidRPr="003A384A">
        <w:rPr>
          <w:rFonts w:ascii="Arial" w:hAnsi="Arial"/>
          <w:sz w:val="20"/>
          <w:szCs w:val="20"/>
          <w:u w:val="single"/>
        </w:rPr>
        <w:t>act on ACBH:</w:t>
      </w:r>
      <w:r w:rsidR="009841B8" w:rsidRPr="003A384A">
        <w:rPr>
          <w:rFonts w:ascii="Arial" w:hAnsi="Arial"/>
          <w:sz w:val="20"/>
          <w:szCs w:val="20"/>
        </w:rPr>
        <w:t xml:space="preserve">  </w:t>
      </w:r>
      <w:r w:rsidRPr="003A384A">
        <w:rPr>
          <w:rFonts w:ascii="Arial" w:hAnsi="Arial"/>
          <w:sz w:val="20"/>
          <w:szCs w:val="20"/>
        </w:rPr>
        <w:t xml:space="preserve">ACBH </w:t>
      </w:r>
      <w:r w:rsidR="001E49E4" w:rsidRPr="003A384A">
        <w:rPr>
          <w:rFonts w:ascii="Arial" w:hAnsi="Arial"/>
          <w:sz w:val="20"/>
          <w:szCs w:val="20"/>
        </w:rPr>
        <w:t xml:space="preserve">will be required to issue the appropriate NOABD template and in a timely and complete manner for adverse benefit determinations rendered to Medi-Cal beneficiaries.  ACBH will need to adequately inform and train </w:t>
      </w:r>
      <w:r w:rsidR="009841B8" w:rsidRPr="003A384A">
        <w:rPr>
          <w:rFonts w:ascii="Arial" w:hAnsi="Arial"/>
          <w:sz w:val="20"/>
          <w:szCs w:val="20"/>
        </w:rPr>
        <w:t xml:space="preserve">ACBH and Contractor </w:t>
      </w:r>
      <w:r w:rsidR="001E49E4" w:rsidRPr="003A384A">
        <w:rPr>
          <w:rFonts w:ascii="Arial" w:hAnsi="Arial"/>
          <w:sz w:val="20"/>
          <w:szCs w:val="20"/>
        </w:rPr>
        <w:t xml:space="preserve">providers </w:t>
      </w:r>
      <w:r w:rsidR="00053B6A">
        <w:rPr>
          <w:rFonts w:ascii="Arial" w:hAnsi="Arial"/>
          <w:sz w:val="20"/>
          <w:szCs w:val="20"/>
        </w:rPr>
        <w:t xml:space="preserve">regarding NOABDs </w:t>
      </w:r>
      <w:r w:rsidR="009841B8" w:rsidRPr="003A384A">
        <w:rPr>
          <w:rFonts w:ascii="Arial" w:hAnsi="Arial"/>
          <w:sz w:val="20"/>
          <w:szCs w:val="20"/>
        </w:rPr>
        <w:t xml:space="preserve">and </w:t>
      </w:r>
      <w:r w:rsidR="00053B6A">
        <w:rPr>
          <w:rFonts w:ascii="Arial" w:hAnsi="Arial"/>
          <w:sz w:val="20"/>
          <w:szCs w:val="20"/>
        </w:rPr>
        <w:t xml:space="preserve">the </w:t>
      </w:r>
      <w:r w:rsidR="009841B8" w:rsidRPr="003A384A">
        <w:rPr>
          <w:rFonts w:ascii="Arial" w:hAnsi="Arial"/>
          <w:sz w:val="20"/>
          <w:szCs w:val="20"/>
        </w:rPr>
        <w:t xml:space="preserve">associated responsibilities. </w:t>
      </w:r>
    </w:p>
    <w:p w14:paraId="6E6E162A" w14:textId="6A8D401F" w:rsidR="009841B8" w:rsidRPr="003A384A" w:rsidRDefault="009841B8" w:rsidP="00521C13">
      <w:pPr>
        <w:spacing w:line="300" w:lineRule="auto"/>
        <w:ind w:left="-450" w:right="-360"/>
        <w:rPr>
          <w:rFonts w:ascii="Arial" w:hAnsi="Arial"/>
          <w:sz w:val="20"/>
          <w:szCs w:val="20"/>
        </w:rPr>
      </w:pPr>
      <w:r w:rsidRPr="003A384A">
        <w:rPr>
          <w:rFonts w:ascii="Arial" w:hAnsi="Arial"/>
          <w:sz w:val="20"/>
          <w:szCs w:val="20"/>
          <w:u w:val="single"/>
        </w:rPr>
        <w:t>Impact on ACBH Contractors:</w:t>
      </w:r>
      <w:r w:rsidRPr="003A384A">
        <w:rPr>
          <w:rFonts w:ascii="Arial" w:hAnsi="Arial"/>
          <w:sz w:val="20"/>
          <w:szCs w:val="20"/>
        </w:rPr>
        <w:t xml:space="preserve">  Contractors will be required to issue the appropriate NOABD template and in a timely and complete manner for adverse benefit determinations rendered to Medi-Cal beneficiaries.  In addition, Contractors are </w:t>
      </w:r>
      <w:r w:rsidR="00053B6A">
        <w:rPr>
          <w:rFonts w:ascii="Arial" w:hAnsi="Arial"/>
          <w:sz w:val="20"/>
          <w:szCs w:val="20"/>
        </w:rPr>
        <w:t xml:space="preserve">required </w:t>
      </w:r>
      <w:r w:rsidRPr="003A384A">
        <w:rPr>
          <w:rFonts w:ascii="Arial" w:hAnsi="Arial"/>
          <w:sz w:val="20"/>
          <w:szCs w:val="20"/>
        </w:rPr>
        <w:t xml:space="preserve">to submit copies of issued NOABDs to the ACBH Quality Assurance (QA) Office.  </w:t>
      </w:r>
    </w:p>
    <w:p w14:paraId="5C11F7D3" w14:textId="5329AB75" w:rsidR="00E02638" w:rsidRPr="00521C13" w:rsidRDefault="009841B8" w:rsidP="00521C13">
      <w:pPr>
        <w:spacing w:line="300" w:lineRule="auto"/>
        <w:ind w:left="-450" w:right="-360"/>
        <w:rPr>
          <w:rFonts w:ascii="Arial" w:hAnsi="Arial"/>
          <w:sz w:val="20"/>
          <w:szCs w:val="20"/>
        </w:rPr>
      </w:pPr>
      <w:r w:rsidRPr="003A384A">
        <w:rPr>
          <w:rFonts w:ascii="Arial" w:hAnsi="Arial"/>
          <w:sz w:val="20"/>
          <w:szCs w:val="20"/>
          <w:u w:val="single"/>
        </w:rPr>
        <w:t>Impact on ACBH Consumers:</w:t>
      </w:r>
      <w:r w:rsidRPr="003A384A">
        <w:rPr>
          <w:rFonts w:ascii="Arial" w:hAnsi="Arial"/>
          <w:sz w:val="20"/>
          <w:szCs w:val="20"/>
        </w:rPr>
        <w:t xml:space="preserve">  Consumers will receive timely written notification when an adverse benefit determination is made.  Notification will contain more individualized information of </w:t>
      </w:r>
      <w:r w:rsidR="00D70901" w:rsidRPr="003A384A">
        <w:rPr>
          <w:rFonts w:ascii="Arial" w:hAnsi="Arial"/>
          <w:sz w:val="20"/>
          <w:szCs w:val="20"/>
        </w:rPr>
        <w:t>the determination, to include the</w:t>
      </w:r>
      <w:r w:rsidRPr="003A384A">
        <w:rPr>
          <w:rFonts w:ascii="Arial" w:hAnsi="Arial"/>
          <w:sz w:val="20"/>
          <w:szCs w:val="20"/>
        </w:rPr>
        <w:t xml:space="preserve"> basis</w:t>
      </w:r>
      <w:r w:rsidR="00D70901" w:rsidRPr="003A384A">
        <w:rPr>
          <w:rFonts w:ascii="Arial" w:hAnsi="Arial"/>
          <w:sz w:val="20"/>
          <w:szCs w:val="20"/>
        </w:rPr>
        <w:t xml:space="preserve">.  Consumers will be </w:t>
      </w:r>
      <w:r w:rsidR="00053B6A">
        <w:rPr>
          <w:rFonts w:ascii="Arial" w:hAnsi="Arial"/>
          <w:sz w:val="20"/>
          <w:szCs w:val="20"/>
        </w:rPr>
        <w:t>provided with</w:t>
      </w:r>
      <w:r w:rsidR="00D70901" w:rsidRPr="003A384A">
        <w:rPr>
          <w:rFonts w:ascii="Arial" w:hAnsi="Arial"/>
          <w:sz w:val="20"/>
          <w:szCs w:val="20"/>
        </w:rPr>
        <w:t xml:space="preserve"> information regarding their rights,</w:t>
      </w:r>
      <w:r w:rsidR="00053B6A">
        <w:rPr>
          <w:rFonts w:ascii="Arial" w:hAnsi="Arial"/>
          <w:sz w:val="20"/>
          <w:szCs w:val="20"/>
        </w:rPr>
        <w:t xml:space="preserve"> which includes their right to appeal and if they require</w:t>
      </w:r>
      <w:bookmarkStart w:id="0" w:name="_GoBack"/>
      <w:bookmarkEnd w:id="0"/>
      <w:r w:rsidR="00D70901" w:rsidRPr="003A384A">
        <w:rPr>
          <w:rFonts w:ascii="Arial" w:hAnsi="Arial"/>
          <w:sz w:val="20"/>
          <w:szCs w:val="20"/>
        </w:rPr>
        <w:t xml:space="preserve"> language assistance.  </w:t>
      </w:r>
      <w:r w:rsidR="00E02638" w:rsidRPr="003A384A">
        <w:rPr>
          <w:sz w:val="20"/>
          <w:szCs w:val="20"/>
        </w:rPr>
        <w:br/>
      </w:r>
    </w:p>
    <w:sectPr w:rsidR="00E02638" w:rsidRPr="00521C13" w:rsidSect="00375F71">
      <w:headerReference w:type="default" r:id="rId8"/>
      <w:footerReference w:type="even" r:id="rId9"/>
      <w:footerReference w:type="default" r:id="rId10"/>
      <w:headerReference w:type="first" r:id="rId11"/>
      <w:footerReference w:type="first" r:id="rId12"/>
      <w:pgSz w:w="12240" w:h="15840" w:code="1"/>
      <w:pgMar w:top="254" w:right="1440" w:bottom="1440" w:left="1440" w:header="360" w:footer="720" w:gutter="0"/>
      <w:cols w:space="708"/>
      <w:titlePg/>
      <w:docGrid w:linePitch="400" w:charSpace="439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CA1BF6" w14:textId="77777777" w:rsidR="008830CE" w:rsidRDefault="008830CE" w:rsidP="00FE4C66">
      <w:pPr>
        <w:spacing w:line="240" w:lineRule="auto"/>
      </w:pPr>
      <w:r>
        <w:separator/>
      </w:r>
    </w:p>
  </w:endnote>
  <w:endnote w:type="continuationSeparator" w:id="0">
    <w:p w14:paraId="75DBB43B" w14:textId="77777777" w:rsidR="008830CE" w:rsidRDefault="008830CE" w:rsidP="00FE4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24100" w14:textId="77777777" w:rsidR="00ED2F13" w:rsidRDefault="00ED2F13"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E46381" w14:textId="77777777" w:rsidR="00ED2F13" w:rsidRDefault="00ED2F13" w:rsidP="00ED2F1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CD72C" w14:textId="4D18B489" w:rsidR="009D6136" w:rsidRDefault="009D6136" w:rsidP="000D6A0C">
    <w:pPr>
      <w:pStyle w:val="Footer"/>
      <w:framePr w:wrap="none" w:vAnchor="text" w:hAnchor="margin" w:xAlign="right" w:y="1"/>
      <w:rPr>
        <w:rStyle w:val="PageNumber"/>
      </w:rPr>
    </w:pPr>
  </w:p>
  <w:p w14:paraId="2C671D09" w14:textId="5B1E8FE7" w:rsidR="00AC6C53" w:rsidRPr="00493D84" w:rsidRDefault="00AC6C53" w:rsidP="00D83AC1">
    <w:pPr>
      <w:pStyle w:val="NoSpacing"/>
      <w:tabs>
        <w:tab w:val="left" w:pos="8873"/>
      </w:tabs>
      <w:spacing w:before="240"/>
      <w:ind w:right="360"/>
      <w:rPr>
        <w:rFonts w:ascii="Georgia" w:hAnsi="Georgia"/>
        <w:b/>
        <w:color w:val="25B781"/>
        <w:spacing w:val="10"/>
        <w:sz w:val="20"/>
        <w:szCs w:val="30"/>
        <w:lang w:eastAsia="ko-KR"/>
      </w:rPr>
    </w:pPr>
    <w:r>
      <w:rPr>
        <w:rFonts w:ascii="Georgia" w:hAnsi="Georgia"/>
        <w:b/>
        <w:noProof/>
        <w:color w:val="25B781"/>
        <w:spacing w:val="10"/>
        <w:sz w:val="20"/>
        <w:szCs w:val="30"/>
        <w:lang w:eastAsia="en-US"/>
      </w:rPr>
      <w:drawing>
        <wp:anchor distT="0" distB="0" distL="114300" distR="114300" simplePos="0" relativeHeight="251662336" behindDoc="0" locked="0" layoutInCell="1" allowOverlap="1" wp14:anchorId="31EE9FEC" wp14:editId="3A3181B6">
          <wp:simplePos x="0" y="0"/>
          <wp:positionH relativeFrom="column">
            <wp:posOffset>0</wp:posOffset>
          </wp:positionH>
          <wp:positionV relativeFrom="paragraph">
            <wp:posOffset>-165793</wp:posOffset>
          </wp:positionV>
          <wp:extent cx="6031865" cy="642445"/>
          <wp:effectExtent l="0" t="0" r="0" b="0"/>
          <wp:wrapNone/>
          <wp:docPr id="18" name="Graphic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rcRect t="-1" b="33340"/>
                  <a:stretch/>
                </pic:blipFill>
                <pic:spPr bwMode="auto">
                  <a:xfrm>
                    <a:off x="0" y="0"/>
                    <a:ext cx="6031865" cy="642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DFFE3" w14:textId="706816C7" w:rsidR="00D83AC1" w:rsidRDefault="00481768" w:rsidP="00CA7574">
    <w:pPr>
      <w:tabs>
        <w:tab w:val="left" w:pos="2914"/>
      </w:tabs>
    </w:pPr>
    <w:r>
      <w:rPr>
        <w:noProof/>
        <w:lang w:eastAsia="en-US"/>
      </w:rPr>
      <w:drawing>
        <wp:anchor distT="0" distB="0" distL="114300" distR="114300" simplePos="0" relativeHeight="251663360" behindDoc="0" locked="0" layoutInCell="1" allowOverlap="1" wp14:anchorId="643EC3E8" wp14:editId="105CF030">
          <wp:simplePos x="0" y="0"/>
          <wp:positionH relativeFrom="column">
            <wp:posOffset>5080</wp:posOffset>
          </wp:positionH>
          <wp:positionV relativeFrom="paragraph">
            <wp:posOffset>-206046</wp:posOffset>
          </wp:positionV>
          <wp:extent cx="6032500" cy="637540"/>
          <wp:effectExtent l="0" t="0" r="0" b="0"/>
          <wp:wrapNone/>
          <wp:docPr id="20"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rcRect b="33856"/>
                  <a:stretch/>
                </pic:blipFill>
                <pic:spPr bwMode="auto">
                  <a:xfrm>
                    <a:off x="0" y="0"/>
                    <a:ext cx="6032500"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AEADF" w14:textId="77777777" w:rsidR="008830CE" w:rsidRDefault="008830CE" w:rsidP="00FE4C66">
      <w:pPr>
        <w:spacing w:line="240" w:lineRule="auto"/>
      </w:pPr>
      <w:r>
        <w:separator/>
      </w:r>
    </w:p>
  </w:footnote>
  <w:footnote w:type="continuationSeparator" w:id="0">
    <w:p w14:paraId="1451B4E7" w14:textId="77777777" w:rsidR="008830CE" w:rsidRDefault="008830CE" w:rsidP="00FE4C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69534" w14:textId="4A65AD9A" w:rsidR="00AC6C53" w:rsidRDefault="00AC6C53"/>
  <w:p w14:paraId="39C1CC7B" w14:textId="77777777" w:rsidR="00AC6C53" w:rsidRDefault="00AC6C53"/>
  <w:tbl>
    <w:tblPr>
      <w:tblStyle w:val="TableGrid"/>
      <w:tblW w:w="14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703"/>
    </w:tblGrid>
    <w:tr w:rsidR="00AC6C53" w14:paraId="03E06CC7" w14:textId="77777777" w:rsidTr="00AC6C53">
      <w:trPr>
        <w:trHeight w:val="183"/>
      </w:trPr>
      <w:tc>
        <w:tcPr>
          <w:tcW w:w="438" w:type="dxa"/>
        </w:tcPr>
        <w:p w14:paraId="0FC669B9" w14:textId="77777777" w:rsidR="00AC6C53" w:rsidRDefault="00AC6C53" w:rsidP="00D83AC1">
          <w:pPr>
            <w:pStyle w:val="Header"/>
          </w:pPr>
          <w:r>
            <w:rPr>
              <w:noProof/>
              <w:lang w:eastAsia="en-US"/>
            </w:rPr>
            <w:drawing>
              <wp:anchor distT="0" distB="0" distL="114300" distR="114300" simplePos="0" relativeHeight="251661312" behindDoc="0" locked="0" layoutInCell="1" allowOverlap="1" wp14:anchorId="34571F8D" wp14:editId="0D624482">
                <wp:simplePos x="0" y="0"/>
                <wp:positionH relativeFrom="column">
                  <wp:posOffset>637194</wp:posOffset>
                </wp:positionH>
                <wp:positionV relativeFrom="paragraph">
                  <wp:posOffset>4676</wp:posOffset>
                </wp:positionV>
                <wp:extent cx="311150" cy="3556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row.png"/>
                        <pic:cNvPicPr/>
                      </pic:nvPicPr>
                      <pic:blipFill>
                        <a:blip r:embed="rId1">
                          <a:extLst>
                            <a:ext uri="{28A0092B-C50C-407E-A947-70E740481C1C}">
                              <a14:useLocalDpi xmlns:a14="http://schemas.microsoft.com/office/drawing/2010/main" val="0"/>
                            </a:ext>
                          </a:extLst>
                        </a:blip>
                        <a:stretch>
                          <a:fillRect/>
                        </a:stretch>
                      </pic:blipFill>
                      <pic:spPr>
                        <a:xfrm>
                          <a:off x="0" y="0"/>
                          <a:ext cx="311150" cy="355600"/>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inline distT="0" distB="0" distL="0" distR="0" wp14:anchorId="0DEAF25E" wp14:editId="0960AA09">
                <wp:extent cx="342900" cy="39188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rt.png"/>
                        <pic:cNvPicPr/>
                      </pic:nvPicPr>
                      <pic:blipFill>
                        <a:blip r:embed="rId2">
                          <a:extLst>
                            <a:ext uri="{28A0092B-C50C-407E-A947-70E740481C1C}">
                              <a14:useLocalDpi xmlns:a14="http://schemas.microsoft.com/office/drawing/2010/main" val="0"/>
                            </a:ext>
                          </a:extLst>
                        </a:blip>
                        <a:stretch>
                          <a:fillRect/>
                        </a:stretch>
                      </pic:blipFill>
                      <pic:spPr>
                        <a:xfrm>
                          <a:off x="0" y="0"/>
                          <a:ext cx="342900" cy="391886"/>
                        </a:xfrm>
                        <a:prstGeom prst="rect">
                          <a:avLst/>
                        </a:prstGeom>
                      </pic:spPr>
                    </pic:pic>
                  </a:graphicData>
                </a:graphic>
              </wp:inline>
            </w:drawing>
          </w:r>
        </w:p>
      </w:tc>
      <w:tc>
        <w:tcPr>
          <w:tcW w:w="1021" w:type="dxa"/>
        </w:tcPr>
        <w:p w14:paraId="49D28A7D" w14:textId="77777777" w:rsidR="00AC6C53" w:rsidRDefault="00AC6C53" w:rsidP="0043244F">
          <w:pPr>
            <w:pStyle w:val="Header"/>
          </w:pPr>
        </w:p>
      </w:tc>
    </w:tr>
  </w:tbl>
  <w:p w14:paraId="53B9B88D" w14:textId="4BE267D7" w:rsidR="00FE4C66" w:rsidRPr="00FE4C66" w:rsidRDefault="00FE4C66" w:rsidP="00AC6C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D9E98" w14:textId="73349621" w:rsidR="00E02638" w:rsidRDefault="00E02638" w:rsidP="00460B5D">
    <w:pPr>
      <w:pStyle w:val="Header"/>
    </w:pPr>
  </w:p>
  <w:tbl>
    <w:tblPr>
      <w:tblStyle w:val="PlainTable4"/>
      <w:tblW w:w="14040" w:type="dxa"/>
      <w:tblInd w:w="-540" w:type="dxa"/>
      <w:tblLook w:val="0680" w:firstRow="0" w:lastRow="0" w:firstColumn="1" w:lastColumn="0" w:noHBand="1" w:noVBand="1"/>
    </w:tblPr>
    <w:tblGrid>
      <w:gridCol w:w="7290"/>
      <w:gridCol w:w="270"/>
      <w:gridCol w:w="6480"/>
    </w:tblGrid>
    <w:tr w:rsidR="00E02638" w14:paraId="3C02FD0C" w14:textId="77777777" w:rsidTr="00E02638">
      <w:trPr>
        <w:trHeight w:val="987"/>
      </w:trPr>
      <w:tc>
        <w:tcPr>
          <w:cnfStyle w:val="001000000000" w:firstRow="0" w:lastRow="0" w:firstColumn="1" w:lastColumn="0" w:oddVBand="0" w:evenVBand="0" w:oddHBand="0" w:evenHBand="0" w:firstRowFirstColumn="0" w:firstRowLastColumn="0" w:lastRowFirstColumn="0" w:lastRowLastColumn="0"/>
          <w:tcW w:w="7290" w:type="dxa"/>
          <w:vAlign w:val="center"/>
        </w:tcPr>
        <w:p w14:paraId="656FB537" w14:textId="6BF78AF1" w:rsidR="00E02638" w:rsidRDefault="00E02638" w:rsidP="00E02638">
          <w:pPr>
            <w:pStyle w:val="Header"/>
          </w:pPr>
          <w:r>
            <w:rPr>
              <w:noProof/>
              <w:lang w:eastAsia="en-US"/>
            </w:rPr>
            <w:drawing>
              <wp:inline distT="0" distB="0" distL="0" distR="0" wp14:anchorId="129A3E2F" wp14:editId="425043A7">
                <wp:extent cx="2133324" cy="598516"/>
                <wp:effectExtent l="0" t="0" r="635" b="0"/>
                <wp:docPr id="19"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_header first page.svg"/>
                        <pic:cNvPicPr/>
                      </pic:nvPicPr>
                      <pic:blipFill>
                        <a:blip r:embed="rId1">
                          <a:extLst>
                            <a:ext uri="{28A0092B-C50C-407E-A947-70E740481C1C}">
                              <a14:useLocalDpi xmlns:a14="http://schemas.microsoft.com/office/drawing/2010/main" val="0"/>
                            </a:ext>
                          </a:extLst>
                        </a:blip>
                        <a:stretch>
                          <a:fillRect/>
                        </a:stretch>
                      </pic:blipFill>
                      <pic:spPr>
                        <a:xfrm>
                          <a:off x="0" y="0"/>
                          <a:ext cx="2133324" cy="598516"/>
                        </a:xfrm>
                        <a:prstGeom prst="rect">
                          <a:avLst/>
                        </a:prstGeom>
                      </pic:spPr>
                    </pic:pic>
                  </a:graphicData>
                </a:graphic>
              </wp:inline>
            </w:drawing>
          </w:r>
        </w:p>
      </w:tc>
      <w:tc>
        <w:tcPr>
          <w:tcW w:w="270" w:type="dxa"/>
          <w:tcBorders>
            <w:right w:val="single" w:sz="24" w:space="0" w:color="33AB7E"/>
          </w:tcBorders>
          <w:vAlign w:val="center"/>
        </w:tcPr>
        <w:p w14:paraId="4A84EFD1" w14:textId="77777777" w:rsidR="00E02638" w:rsidRPr="00E02638" w:rsidRDefault="00E02638" w:rsidP="00E02638">
          <w:pPr>
            <w:pStyle w:val="Header"/>
            <w:cnfStyle w:val="000000000000" w:firstRow="0" w:lastRow="0" w:firstColumn="0" w:lastColumn="0" w:oddVBand="0" w:evenVBand="0" w:oddHBand="0" w:evenHBand="0" w:firstRowFirstColumn="0" w:firstRowLastColumn="0" w:lastRowFirstColumn="0" w:lastRowLastColumn="0"/>
            <w:rPr>
              <w:sz w:val="14"/>
              <w:szCs w:val="14"/>
            </w:rPr>
          </w:pPr>
        </w:p>
      </w:tc>
      <w:tc>
        <w:tcPr>
          <w:tcW w:w="6480" w:type="dxa"/>
          <w:tcBorders>
            <w:left w:val="single" w:sz="24" w:space="0" w:color="33AB7E"/>
          </w:tcBorders>
          <w:vAlign w:val="center"/>
        </w:tcPr>
        <w:p w14:paraId="4168E55F" w14:textId="14EE6AFA" w:rsidR="006D3D27" w:rsidRPr="006D3D27" w:rsidRDefault="006D3D27" w:rsidP="006D3D27">
          <w:pPr>
            <w:pStyle w:val="Header"/>
            <w:spacing w:line="240" w:lineRule="exact"/>
            <w:ind w:left="144"/>
            <w:cnfStyle w:val="000000000000" w:firstRow="0" w:lastRow="0" w:firstColumn="0" w:lastColumn="0" w:oddVBand="0" w:evenVBand="0" w:oddHBand="0" w:evenHBand="0" w:firstRowFirstColumn="0" w:firstRowLastColumn="0" w:lastRowFirstColumn="0" w:lastRowLastColumn="0"/>
            <w:rPr>
              <w:sz w:val="14"/>
              <w:szCs w:val="14"/>
            </w:rPr>
          </w:pPr>
          <w:r w:rsidRPr="006D3D27">
            <w:rPr>
              <w:sz w:val="14"/>
              <w:szCs w:val="14"/>
            </w:rPr>
            <w:t>2000 Embarcadero Cove, Suite 400</w:t>
          </w:r>
        </w:p>
        <w:p w14:paraId="70344B52" w14:textId="198AC5A0" w:rsidR="006D3D27" w:rsidRPr="006D3D27" w:rsidRDefault="006D3D27" w:rsidP="006D3D27">
          <w:pPr>
            <w:pStyle w:val="Header"/>
            <w:spacing w:line="240" w:lineRule="exact"/>
            <w:ind w:left="144"/>
            <w:cnfStyle w:val="000000000000" w:firstRow="0" w:lastRow="0" w:firstColumn="0" w:lastColumn="0" w:oddVBand="0" w:evenVBand="0" w:oddHBand="0" w:evenHBand="0" w:firstRowFirstColumn="0" w:firstRowLastColumn="0" w:lastRowFirstColumn="0" w:lastRowLastColumn="0"/>
            <w:rPr>
              <w:sz w:val="14"/>
              <w:szCs w:val="14"/>
            </w:rPr>
          </w:pPr>
          <w:r w:rsidRPr="006D3D27">
            <w:rPr>
              <w:sz w:val="14"/>
              <w:szCs w:val="14"/>
            </w:rPr>
            <w:t xml:space="preserve">Oakland, Ca 94606 </w:t>
          </w:r>
        </w:p>
        <w:p w14:paraId="213A7284" w14:textId="7BCC4591" w:rsidR="006D3D27" w:rsidRPr="006D3D27" w:rsidRDefault="006D3D27" w:rsidP="006D3D27">
          <w:pPr>
            <w:pStyle w:val="Header"/>
            <w:spacing w:line="240" w:lineRule="exact"/>
            <w:ind w:left="144"/>
            <w:cnfStyle w:val="000000000000" w:firstRow="0" w:lastRow="0" w:firstColumn="0" w:lastColumn="0" w:oddVBand="0" w:evenVBand="0" w:oddHBand="0" w:evenHBand="0" w:firstRowFirstColumn="0" w:firstRowLastColumn="0" w:lastRowFirstColumn="0" w:lastRowLastColumn="0"/>
            <w:rPr>
              <w:sz w:val="14"/>
              <w:szCs w:val="14"/>
            </w:rPr>
          </w:pPr>
          <w:r w:rsidRPr="006D3D27">
            <w:rPr>
              <w:sz w:val="14"/>
              <w:szCs w:val="14"/>
            </w:rPr>
            <w:t>510-567-8100 / TTY 510-533-5018</w:t>
          </w:r>
        </w:p>
        <w:p w14:paraId="0987DBAC" w14:textId="5A47F0D1" w:rsidR="00E02638" w:rsidRPr="00E02638" w:rsidRDefault="006D3D27" w:rsidP="006D3D27">
          <w:pPr>
            <w:pStyle w:val="Header"/>
            <w:spacing w:line="240" w:lineRule="exact"/>
            <w:ind w:left="144"/>
            <w:cnfStyle w:val="000000000000" w:firstRow="0" w:lastRow="0" w:firstColumn="0" w:lastColumn="0" w:oddVBand="0" w:evenVBand="0" w:oddHBand="0" w:evenHBand="0" w:firstRowFirstColumn="0" w:firstRowLastColumn="0" w:lastRowFirstColumn="0" w:lastRowLastColumn="0"/>
            <w:rPr>
              <w:sz w:val="14"/>
              <w:szCs w:val="14"/>
            </w:rPr>
          </w:pPr>
          <w:r w:rsidRPr="006D3D27">
            <w:rPr>
              <w:sz w:val="14"/>
              <w:szCs w:val="14"/>
            </w:rPr>
            <w:t>Carol F. Burton, MSW, Interim Director</w:t>
          </w:r>
        </w:p>
      </w:tc>
    </w:tr>
  </w:tbl>
  <w:p w14:paraId="53E4AEB9" w14:textId="77777777" w:rsidR="00481768" w:rsidRDefault="00481768" w:rsidP="00460B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9075F"/>
    <w:multiLevelType w:val="hybridMultilevel"/>
    <w:tmpl w:val="E7B0D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781D61"/>
    <w:multiLevelType w:val="hybridMultilevel"/>
    <w:tmpl w:val="9C9C82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4241FEC"/>
    <w:multiLevelType w:val="hybridMultilevel"/>
    <w:tmpl w:val="9F9C9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855872"/>
    <w:multiLevelType w:val="hybridMultilevel"/>
    <w:tmpl w:val="C1847C80"/>
    <w:lvl w:ilvl="0" w:tplc="A0DED912">
      <w:start w:val="1"/>
      <w:numFmt w:val="decimal"/>
      <w:lvlText w:val="%1."/>
      <w:lvlJc w:val="left"/>
      <w:pPr>
        <w:ind w:left="720" w:hanging="360"/>
      </w:pPr>
      <w:rPr>
        <w:rFonts w:ascii="Arial" w:eastAsia="Calibr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7F7F62"/>
    <w:multiLevelType w:val="hybridMultilevel"/>
    <w:tmpl w:val="6EDC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435"/>
  <w:drawingGridVerticalSpacing w:val="200"/>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66"/>
    <w:rsid w:val="00002B62"/>
    <w:rsid w:val="00006DE3"/>
    <w:rsid w:val="00031E17"/>
    <w:rsid w:val="00053B6A"/>
    <w:rsid w:val="000D7625"/>
    <w:rsid w:val="001012D8"/>
    <w:rsid w:val="001138A5"/>
    <w:rsid w:val="00124992"/>
    <w:rsid w:val="001772E6"/>
    <w:rsid w:val="001E49E4"/>
    <w:rsid w:val="00280838"/>
    <w:rsid w:val="0028178C"/>
    <w:rsid w:val="002C7FF8"/>
    <w:rsid w:val="002D7663"/>
    <w:rsid w:val="00326F86"/>
    <w:rsid w:val="0033605F"/>
    <w:rsid w:val="003658DC"/>
    <w:rsid w:val="00375F71"/>
    <w:rsid w:val="003917EE"/>
    <w:rsid w:val="003937F9"/>
    <w:rsid w:val="003A384A"/>
    <w:rsid w:val="003B56BC"/>
    <w:rsid w:val="003E4C0D"/>
    <w:rsid w:val="004004FE"/>
    <w:rsid w:val="0043244F"/>
    <w:rsid w:val="00454A28"/>
    <w:rsid w:val="00460B5D"/>
    <w:rsid w:val="00481768"/>
    <w:rsid w:val="004839AA"/>
    <w:rsid w:val="00487722"/>
    <w:rsid w:val="00493D84"/>
    <w:rsid w:val="004C565A"/>
    <w:rsid w:val="00521C13"/>
    <w:rsid w:val="0053275B"/>
    <w:rsid w:val="00541574"/>
    <w:rsid w:val="00547855"/>
    <w:rsid w:val="00580633"/>
    <w:rsid w:val="00613E25"/>
    <w:rsid w:val="0062174F"/>
    <w:rsid w:val="006407A8"/>
    <w:rsid w:val="00647215"/>
    <w:rsid w:val="006950BB"/>
    <w:rsid w:val="006B107D"/>
    <w:rsid w:val="006D3D27"/>
    <w:rsid w:val="00735077"/>
    <w:rsid w:val="00740981"/>
    <w:rsid w:val="007631FC"/>
    <w:rsid w:val="00785440"/>
    <w:rsid w:val="007A1B0D"/>
    <w:rsid w:val="007D68A6"/>
    <w:rsid w:val="007E2D95"/>
    <w:rsid w:val="007F4B03"/>
    <w:rsid w:val="00803974"/>
    <w:rsid w:val="00831218"/>
    <w:rsid w:val="00873160"/>
    <w:rsid w:val="00882467"/>
    <w:rsid w:val="008830CE"/>
    <w:rsid w:val="008A3EA3"/>
    <w:rsid w:val="008D0D66"/>
    <w:rsid w:val="009059E5"/>
    <w:rsid w:val="009103F8"/>
    <w:rsid w:val="00912EDC"/>
    <w:rsid w:val="00934FA7"/>
    <w:rsid w:val="009701FB"/>
    <w:rsid w:val="009841B8"/>
    <w:rsid w:val="009964E3"/>
    <w:rsid w:val="009A1510"/>
    <w:rsid w:val="009D2CE3"/>
    <w:rsid w:val="009D6136"/>
    <w:rsid w:val="009F75D0"/>
    <w:rsid w:val="00A353FC"/>
    <w:rsid w:val="00A4321B"/>
    <w:rsid w:val="00AC6C53"/>
    <w:rsid w:val="00AF10C5"/>
    <w:rsid w:val="00B113B9"/>
    <w:rsid w:val="00B25A68"/>
    <w:rsid w:val="00B97851"/>
    <w:rsid w:val="00BD24AE"/>
    <w:rsid w:val="00BE078B"/>
    <w:rsid w:val="00BF4EE2"/>
    <w:rsid w:val="00C36EE2"/>
    <w:rsid w:val="00CA7574"/>
    <w:rsid w:val="00D40618"/>
    <w:rsid w:val="00D70901"/>
    <w:rsid w:val="00D715F3"/>
    <w:rsid w:val="00D83AC1"/>
    <w:rsid w:val="00E02638"/>
    <w:rsid w:val="00E24B14"/>
    <w:rsid w:val="00E507CB"/>
    <w:rsid w:val="00E76227"/>
    <w:rsid w:val="00E9199C"/>
    <w:rsid w:val="00ED2F13"/>
    <w:rsid w:val="00F236FC"/>
    <w:rsid w:val="00F3028B"/>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51A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5D0"/>
    <w:pPr>
      <w:spacing w:line="360" w:lineRule="auto"/>
    </w:pPr>
    <w:rPr>
      <w:color w:val="3B3838" w:themeColor="background2" w:themeShade="40"/>
    </w:rPr>
  </w:style>
  <w:style w:type="paragraph" w:styleId="Heading1">
    <w:name w:val="heading 1"/>
    <w:basedOn w:val="Normal"/>
    <w:next w:val="Normal"/>
    <w:link w:val="Heading1Char"/>
    <w:uiPriority w:val="9"/>
    <w:qFormat/>
    <w:rsid w:val="00B97851"/>
    <w:pPr>
      <w:keepNext/>
      <w:keepLines/>
      <w:spacing w:before="240" w:after="240"/>
      <w:outlineLvl w:val="0"/>
    </w:pPr>
    <w:rPr>
      <w:rFonts w:ascii="Georgia" w:eastAsiaTheme="majorEastAsia" w:hAnsi="Georgia" w:cstheme="majorBidi"/>
      <w:b/>
      <w:i/>
      <w:color w:val="262626" w:themeColor="text1" w:themeTint="D9"/>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iPriority w:val="99"/>
    <w:unhideWhenUsed/>
    <w:rsid w:val="00FE4C66"/>
    <w:pPr>
      <w:tabs>
        <w:tab w:val="center" w:pos="4680"/>
        <w:tab w:val="right" w:pos="9360"/>
      </w:tabs>
    </w:p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iPriority w:val="99"/>
    <w:unhideWhenUsed/>
    <w:rsid w:val="00FE4C66"/>
    <w:pPr>
      <w:tabs>
        <w:tab w:val="center" w:pos="4680"/>
        <w:tab w:val="right" w:pos="9360"/>
      </w:tabs>
    </w:p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pPr>
    <w:rPr>
      <w:rFonts w:ascii="Times New Roman" w:hAnsi="Times New Roman" w:cs="Times New Roman"/>
    </w:rPr>
  </w:style>
  <w:style w:type="character" w:styleId="PageNumber">
    <w:name w:val="page number"/>
    <w:basedOn w:val="DefaultParagraphFont"/>
    <w:uiPriority w:val="99"/>
    <w:semiHidden/>
    <w:unhideWhenUsed/>
    <w:rsid w:val="00ED2F13"/>
  </w:style>
  <w:style w:type="table" w:styleId="PlainTable4">
    <w:name w:val="Plain Table 4"/>
    <w:basedOn w:val="TableNormal"/>
    <w:uiPriority w:val="44"/>
    <w:rsid w:val="00E0263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B25A68"/>
    <w:pPr>
      <w:spacing w:after="200" w:line="276" w:lineRule="auto"/>
      <w:ind w:left="720"/>
      <w:contextualSpacing/>
    </w:pPr>
    <w:rPr>
      <w:rFonts w:asciiTheme="minorHAnsi" w:eastAsiaTheme="minorHAnsi" w:hAnsiTheme="minorHAnsi" w:cstheme="minorBidi"/>
      <w:color w:val="auto"/>
      <w:szCs w:val="22"/>
      <w:lang w:eastAsia="en-US"/>
    </w:rPr>
  </w:style>
  <w:style w:type="paragraph" w:styleId="BalloonText">
    <w:name w:val="Balloon Text"/>
    <w:basedOn w:val="Normal"/>
    <w:link w:val="BalloonTextChar"/>
    <w:uiPriority w:val="99"/>
    <w:semiHidden/>
    <w:unhideWhenUsed/>
    <w:rsid w:val="00E7622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227"/>
    <w:rPr>
      <w:rFonts w:ascii="Segoe UI" w:hAnsi="Segoe UI" w:cs="Segoe UI"/>
      <w:color w:val="3B3838" w:themeColor="background2" w:themeShade="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B149ABE-5204-4471-ABB1-CE1D5671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414</Words>
  <Characters>2553</Characters>
  <Application>Microsoft Office Word</Application>
  <DocSecurity>0</DocSecurity>
  <Lines>72</Lines>
  <Paragraphs>24</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Author Name goes here</dc:creator>
  <cp:keywords/>
  <dc:description/>
  <cp:lastModifiedBy>Karen Capece</cp:lastModifiedBy>
  <cp:revision>32</cp:revision>
  <cp:lastPrinted>2019-02-01T19:22:00Z</cp:lastPrinted>
  <dcterms:created xsi:type="dcterms:W3CDTF">2019-02-01T16:37:00Z</dcterms:created>
  <dcterms:modified xsi:type="dcterms:W3CDTF">2019-02-01T19:39:00Z</dcterms:modified>
</cp:coreProperties>
</file>