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3A6" w:rsidRDefault="007073A6" w:rsidP="007073A6">
      <w:pPr>
        <w:spacing w:after="0" w:line="252" w:lineRule="auto"/>
        <w:rPr>
          <w:rFonts w:ascii="Arial" w:hAnsi="Arial" w:cs="Arial"/>
          <w:bCs/>
          <w:sz w:val="24"/>
          <w:szCs w:val="24"/>
        </w:rPr>
      </w:pPr>
    </w:p>
    <w:p w:rsidR="007073A6" w:rsidRDefault="007073A6" w:rsidP="007073A6">
      <w:pPr>
        <w:spacing w:after="0" w:line="252" w:lineRule="auto"/>
        <w:rPr>
          <w:rFonts w:ascii="Arial" w:hAnsi="Arial" w:cs="Arial"/>
          <w:bCs/>
          <w:sz w:val="24"/>
          <w:szCs w:val="24"/>
        </w:rPr>
      </w:pPr>
      <w:r w:rsidRPr="005F0AD2">
        <w:rPr>
          <w:rFonts w:ascii="Arial" w:hAnsi="Arial" w:cs="Arial"/>
          <w:bCs/>
          <w:sz w:val="24"/>
          <w:szCs w:val="24"/>
        </w:rPr>
        <w:t>An Adverse Benefit Determination is defined to mean any of the following actions taken by the Behavioral Health Plan (BHP), which includes Alameda County Behavioral Health (ACBH) and ACBH-contracted providers</w:t>
      </w:r>
      <w:r>
        <w:rPr>
          <w:rFonts w:ascii="Arial" w:hAnsi="Arial" w:cs="Arial"/>
          <w:bCs/>
          <w:sz w:val="24"/>
          <w:szCs w:val="24"/>
        </w:rPr>
        <w:t>:</w:t>
      </w:r>
    </w:p>
    <w:p w:rsidR="00D3679B" w:rsidRDefault="00D3679B" w:rsidP="007073A6">
      <w:pPr>
        <w:spacing w:after="0" w:line="252" w:lineRule="auto"/>
        <w:rPr>
          <w:rFonts w:ascii="Arial" w:hAnsi="Arial" w:cs="Arial"/>
          <w:bCs/>
          <w:sz w:val="24"/>
          <w:szCs w:val="24"/>
        </w:rPr>
      </w:pPr>
    </w:p>
    <w:p w:rsidR="007073A6" w:rsidRPr="00CE094A" w:rsidRDefault="007073A6" w:rsidP="00CE094A">
      <w:pPr>
        <w:pStyle w:val="ListParagraph"/>
        <w:numPr>
          <w:ilvl w:val="0"/>
          <w:numId w:val="5"/>
        </w:numPr>
        <w:spacing w:after="60"/>
        <w:rPr>
          <w:rFonts w:ascii="Arial" w:hAnsi="Arial" w:cs="Arial"/>
          <w:color w:val="000000"/>
          <w:sz w:val="24"/>
          <w:szCs w:val="24"/>
        </w:rPr>
      </w:pPr>
      <w:r w:rsidRPr="00CE094A">
        <w:rPr>
          <w:rFonts w:ascii="Arial" w:hAnsi="Arial" w:cs="Arial"/>
          <w:color w:val="000000"/>
          <w:sz w:val="24"/>
          <w:szCs w:val="24"/>
        </w:rPr>
        <w:t xml:space="preserve">The denial or limited authorization of a requested service, including determinations based on the type or level of service, medical necessity, appropriateness, setting, or effectiveness of a covered benefit; </w:t>
      </w:r>
    </w:p>
    <w:p w:rsidR="007073A6" w:rsidRPr="00CE094A" w:rsidRDefault="007073A6" w:rsidP="00CE094A">
      <w:pPr>
        <w:pStyle w:val="ListParagraph"/>
        <w:numPr>
          <w:ilvl w:val="0"/>
          <w:numId w:val="5"/>
        </w:numPr>
        <w:spacing w:after="60"/>
        <w:rPr>
          <w:rFonts w:ascii="Arial" w:hAnsi="Arial" w:cs="Arial"/>
          <w:color w:val="000000"/>
          <w:sz w:val="24"/>
          <w:szCs w:val="24"/>
        </w:rPr>
      </w:pPr>
      <w:r w:rsidRPr="00CE094A">
        <w:rPr>
          <w:rFonts w:ascii="Arial" w:hAnsi="Arial" w:cs="Arial"/>
          <w:color w:val="000000"/>
          <w:sz w:val="24"/>
          <w:szCs w:val="24"/>
        </w:rPr>
        <w:t xml:space="preserve">The reduction, suspension, or termination of a previously authorized service; </w:t>
      </w:r>
    </w:p>
    <w:p w:rsidR="007073A6" w:rsidRPr="00CE094A" w:rsidRDefault="007073A6" w:rsidP="00CE094A">
      <w:pPr>
        <w:pStyle w:val="ListParagraph"/>
        <w:numPr>
          <w:ilvl w:val="0"/>
          <w:numId w:val="5"/>
        </w:numPr>
        <w:spacing w:after="60"/>
        <w:rPr>
          <w:rFonts w:ascii="Arial" w:hAnsi="Arial" w:cs="Arial"/>
          <w:sz w:val="24"/>
          <w:szCs w:val="24"/>
        </w:rPr>
      </w:pPr>
      <w:r w:rsidRPr="00CE094A">
        <w:rPr>
          <w:rFonts w:ascii="Arial" w:hAnsi="Arial" w:cs="Arial"/>
          <w:color w:val="000000"/>
          <w:sz w:val="24"/>
          <w:szCs w:val="24"/>
        </w:rPr>
        <w:t xml:space="preserve">The denial, in whole or in part, of payment for a service; </w:t>
      </w:r>
      <w:r w:rsidRPr="00CE094A">
        <w:rPr>
          <w:rFonts w:ascii="Arial" w:hAnsi="Arial" w:cs="Arial"/>
          <w:sz w:val="24"/>
          <w:szCs w:val="24"/>
        </w:rPr>
        <w:t xml:space="preserve"> </w:t>
      </w:r>
    </w:p>
    <w:p w:rsidR="007073A6" w:rsidRPr="00CE094A" w:rsidRDefault="007073A6" w:rsidP="00CE094A">
      <w:pPr>
        <w:pStyle w:val="ListParagraph"/>
        <w:numPr>
          <w:ilvl w:val="0"/>
          <w:numId w:val="5"/>
        </w:numPr>
        <w:spacing w:after="60"/>
        <w:rPr>
          <w:rFonts w:ascii="Arial" w:hAnsi="Arial" w:cs="Arial"/>
          <w:color w:val="000000"/>
          <w:sz w:val="24"/>
          <w:szCs w:val="24"/>
        </w:rPr>
      </w:pPr>
      <w:r w:rsidRPr="00CE094A">
        <w:rPr>
          <w:rFonts w:ascii="Arial" w:hAnsi="Arial" w:cs="Arial"/>
          <w:color w:val="000000"/>
          <w:sz w:val="24"/>
          <w:szCs w:val="24"/>
        </w:rPr>
        <w:t xml:space="preserve">The failure to provide services in a timely manner; </w:t>
      </w:r>
    </w:p>
    <w:p w:rsidR="007073A6" w:rsidRPr="00CE094A" w:rsidRDefault="007073A6" w:rsidP="00CE094A">
      <w:pPr>
        <w:pStyle w:val="ListParagraph"/>
        <w:numPr>
          <w:ilvl w:val="0"/>
          <w:numId w:val="5"/>
        </w:numPr>
        <w:spacing w:after="60"/>
        <w:rPr>
          <w:rFonts w:ascii="Arial" w:hAnsi="Arial" w:cs="Arial"/>
          <w:color w:val="000000"/>
          <w:sz w:val="24"/>
          <w:szCs w:val="24"/>
        </w:rPr>
      </w:pPr>
      <w:r w:rsidRPr="00CE094A">
        <w:rPr>
          <w:rFonts w:ascii="Arial" w:hAnsi="Arial" w:cs="Arial"/>
          <w:color w:val="000000"/>
          <w:sz w:val="24"/>
          <w:szCs w:val="24"/>
        </w:rPr>
        <w:t xml:space="preserve">The failure to act within the required timeframes for standard resolution of grievances and appeals; or </w:t>
      </w:r>
    </w:p>
    <w:p w:rsidR="007073A6" w:rsidRPr="00CE094A" w:rsidRDefault="007073A6" w:rsidP="00CE094A">
      <w:pPr>
        <w:pStyle w:val="ListParagraph"/>
        <w:numPr>
          <w:ilvl w:val="0"/>
          <w:numId w:val="5"/>
        </w:numPr>
        <w:spacing w:after="60"/>
        <w:rPr>
          <w:rFonts w:ascii="Arial" w:hAnsi="Arial" w:cs="Arial"/>
          <w:color w:val="000000"/>
          <w:sz w:val="24"/>
          <w:szCs w:val="24"/>
        </w:rPr>
      </w:pPr>
      <w:r w:rsidRPr="00CE094A">
        <w:rPr>
          <w:rFonts w:ascii="Arial" w:hAnsi="Arial" w:cs="Arial"/>
          <w:color w:val="000000"/>
          <w:sz w:val="24"/>
          <w:szCs w:val="24"/>
        </w:rPr>
        <w:t xml:space="preserve">The denial of a beneficiary’s request to dispute financial liability. </w:t>
      </w:r>
    </w:p>
    <w:p w:rsidR="007073A6" w:rsidRDefault="007073A6" w:rsidP="00CE094A">
      <w:pPr>
        <w:spacing w:after="0" w:line="252" w:lineRule="auto"/>
        <w:rPr>
          <w:rFonts w:ascii="Arial" w:hAnsi="Arial" w:cs="Arial"/>
          <w:color w:val="000000"/>
          <w:sz w:val="24"/>
          <w:szCs w:val="24"/>
        </w:rPr>
      </w:pPr>
    </w:p>
    <w:p w:rsidR="007073A6" w:rsidRPr="00D53A92" w:rsidRDefault="007073A6" w:rsidP="00CE094A">
      <w:pPr>
        <w:spacing w:after="0" w:line="252" w:lineRule="auto"/>
        <w:rPr>
          <w:rFonts w:ascii="Arial" w:hAnsi="Arial" w:cs="Arial"/>
          <w:b/>
          <w:color w:val="000000"/>
          <w:sz w:val="24"/>
          <w:szCs w:val="24"/>
        </w:rPr>
      </w:pPr>
      <w:r w:rsidRPr="00D53A92">
        <w:rPr>
          <w:rFonts w:ascii="Arial" w:hAnsi="Arial" w:cs="Arial"/>
          <w:b/>
          <w:color w:val="000000"/>
          <w:sz w:val="24"/>
          <w:szCs w:val="24"/>
        </w:rPr>
        <w:t xml:space="preserve">Beneficiaries must receive a written NOABD when the BHP takes any actions described above.  </w:t>
      </w:r>
    </w:p>
    <w:p w:rsidR="007073A6" w:rsidRDefault="007073A6" w:rsidP="00CE094A">
      <w:pPr>
        <w:spacing w:after="0" w:line="252" w:lineRule="auto"/>
        <w:rPr>
          <w:rFonts w:ascii="Arial" w:hAnsi="Arial" w:cs="Arial"/>
          <w:color w:val="000000"/>
          <w:sz w:val="24"/>
          <w:szCs w:val="24"/>
        </w:rPr>
      </w:pPr>
    </w:p>
    <w:p w:rsidR="00F7624E" w:rsidRDefault="007073A6" w:rsidP="00CE094A">
      <w:pPr>
        <w:pStyle w:val="ListParagraph"/>
        <w:numPr>
          <w:ilvl w:val="0"/>
          <w:numId w:val="8"/>
        </w:numPr>
        <w:spacing w:after="0" w:line="252" w:lineRule="auto"/>
        <w:ind w:left="1530"/>
        <w:rPr>
          <w:rFonts w:ascii="Arial" w:hAnsi="Arial" w:cs="Arial"/>
          <w:sz w:val="24"/>
          <w:szCs w:val="24"/>
        </w:rPr>
      </w:pPr>
      <w:r w:rsidRPr="00F7624E">
        <w:rPr>
          <w:rFonts w:ascii="Arial" w:hAnsi="Arial" w:cs="Arial"/>
          <w:sz w:val="24"/>
          <w:szCs w:val="24"/>
        </w:rPr>
        <w:t xml:space="preserve">NOABDs sent to beneficiaries shall include </w:t>
      </w:r>
      <w:r w:rsidR="00CE094A" w:rsidRPr="00F7624E">
        <w:rPr>
          <w:rFonts w:ascii="Arial" w:hAnsi="Arial" w:cs="Arial"/>
          <w:sz w:val="24"/>
          <w:szCs w:val="24"/>
        </w:rPr>
        <w:t xml:space="preserve">all of the following </w:t>
      </w:r>
      <w:r w:rsidR="00D31F68">
        <w:rPr>
          <w:rFonts w:ascii="Arial" w:hAnsi="Arial" w:cs="Arial"/>
          <w:sz w:val="24"/>
          <w:szCs w:val="24"/>
        </w:rPr>
        <w:t>enclosures</w:t>
      </w:r>
      <w:r w:rsidR="00CE094A" w:rsidRPr="00F7624E">
        <w:rPr>
          <w:rFonts w:ascii="Arial" w:hAnsi="Arial" w:cs="Arial"/>
          <w:sz w:val="24"/>
          <w:szCs w:val="24"/>
        </w:rPr>
        <w:t>:</w:t>
      </w:r>
    </w:p>
    <w:p w:rsidR="003876F6" w:rsidRPr="003876F6" w:rsidRDefault="003876F6" w:rsidP="003876F6">
      <w:pPr>
        <w:spacing w:after="0" w:line="252" w:lineRule="auto"/>
        <w:ind w:left="810"/>
        <w:rPr>
          <w:rFonts w:ascii="Arial" w:hAnsi="Arial" w:cs="Arial"/>
          <w:sz w:val="24"/>
          <w:szCs w:val="24"/>
        </w:rPr>
      </w:pPr>
    </w:p>
    <w:p w:rsidR="00CE094A" w:rsidRPr="00F7624E" w:rsidRDefault="00CE094A" w:rsidP="00F7624E">
      <w:pPr>
        <w:pStyle w:val="ListParagraph"/>
        <w:numPr>
          <w:ilvl w:val="1"/>
          <w:numId w:val="12"/>
        </w:numPr>
        <w:spacing w:after="0" w:line="252" w:lineRule="auto"/>
        <w:rPr>
          <w:rFonts w:ascii="Arial" w:hAnsi="Arial" w:cs="Arial"/>
          <w:sz w:val="24"/>
          <w:szCs w:val="24"/>
        </w:rPr>
      </w:pPr>
      <w:r w:rsidRPr="00F7624E">
        <w:rPr>
          <w:rFonts w:ascii="Arial" w:hAnsi="Arial" w:cs="Arial"/>
          <w:sz w:val="24"/>
          <w:szCs w:val="24"/>
        </w:rPr>
        <w:t>NOABD “Your Rights”</w:t>
      </w:r>
    </w:p>
    <w:p w:rsidR="00CE094A" w:rsidRDefault="007073A6" w:rsidP="00F7624E">
      <w:pPr>
        <w:pStyle w:val="ListParagraph"/>
        <w:numPr>
          <w:ilvl w:val="1"/>
          <w:numId w:val="12"/>
        </w:numPr>
        <w:spacing w:after="0" w:line="252" w:lineRule="auto"/>
        <w:rPr>
          <w:rFonts w:ascii="Arial" w:hAnsi="Arial" w:cs="Arial"/>
          <w:sz w:val="24"/>
          <w:szCs w:val="24"/>
        </w:rPr>
      </w:pPr>
      <w:r w:rsidRPr="00CE094A">
        <w:rPr>
          <w:rFonts w:ascii="Arial" w:hAnsi="Arial" w:cs="Arial"/>
          <w:sz w:val="24"/>
          <w:szCs w:val="24"/>
        </w:rPr>
        <w:t>Language Assistance Taglines</w:t>
      </w:r>
    </w:p>
    <w:p w:rsidR="007073A6" w:rsidRPr="00CE094A" w:rsidRDefault="007073A6" w:rsidP="00F7624E">
      <w:pPr>
        <w:pStyle w:val="ListParagraph"/>
        <w:numPr>
          <w:ilvl w:val="1"/>
          <w:numId w:val="12"/>
        </w:numPr>
        <w:spacing w:after="0" w:line="252" w:lineRule="auto"/>
        <w:rPr>
          <w:rFonts w:ascii="Arial" w:hAnsi="Arial" w:cs="Arial"/>
          <w:sz w:val="24"/>
          <w:szCs w:val="24"/>
        </w:rPr>
      </w:pPr>
      <w:r w:rsidRPr="00CE094A">
        <w:rPr>
          <w:rFonts w:ascii="Arial" w:hAnsi="Arial" w:cs="Arial"/>
          <w:sz w:val="24"/>
          <w:szCs w:val="24"/>
        </w:rPr>
        <w:t>Benefic</w:t>
      </w:r>
      <w:r w:rsidR="00CE094A">
        <w:rPr>
          <w:rFonts w:ascii="Arial" w:hAnsi="Arial" w:cs="Arial"/>
          <w:sz w:val="24"/>
          <w:szCs w:val="24"/>
        </w:rPr>
        <w:t>iary Nondiscrimination Notice</w:t>
      </w:r>
    </w:p>
    <w:p w:rsidR="007073A6" w:rsidRDefault="007073A6" w:rsidP="00CE094A">
      <w:pPr>
        <w:spacing w:after="0" w:line="252" w:lineRule="auto"/>
        <w:ind w:left="720"/>
        <w:rPr>
          <w:rFonts w:ascii="Arial" w:hAnsi="Arial" w:cs="Arial"/>
          <w:sz w:val="24"/>
          <w:szCs w:val="24"/>
        </w:rPr>
      </w:pPr>
    </w:p>
    <w:p w:rsidR="007073A6" w:rsidRDefault="007073A6" w:rsidP="00F7624E">
      <w:pPr>
        <w:pStyle w:val="ListParagraph"/>
        <w:numPr>
          <w:ilvl w:val="0"/>
          <w:numId w:val="13"/>
        </w:numPr>
        <w:spacing w:after="0" w:line="252" w:lineRule="auto"/>
        <w:rPr>
          <w:rFonts w:ascii="Arial" w:hAnsi="Arial" w:cs="Arial"/>
          <w:sz w:val="24"/>
          <w:szCs w:val="24"/>
        </w:rPr>
      </w:pPr>
      <w:r w:rsidRPr="00F7624E">
        <w:rPr>
          <w:rFonts w:ascii="Arial" w:hAnsi="Arial" w:cs="Arial"/>
          <w:sz w:val="24"/>
          <w:szCs w:val="24"/>
        </w:rPr>
        <w:t xml:space="preserve">ACBH-contracted providers are required to send copies of NOABDs to:  </w:t>
      </w:r>
    </w:p>
    <w:p w:rsidR="00BE7A30" w:rsidRDefault="00BE7A30" w:rsidP="00BE7A30">
      <w:pPr>
        <w:pStyle w:val="ListParagraph"/>
        <w:spacing w:after="0" w:line="252" w:lineRule="auto"/>
        <w:ind w:left="1440"/>
        <w:rPr>
          <w:rFonts w:ascii="Arial" w:hAnsi="Arial" w:cs="Arial"/>
          <w:sz w:val="24"/>
          <w:szCs w:val="24"/>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1572"/>
        <w:gridCol w:w="4003"/>
      </w:tblGrid>
      <w:tr w:rsidR="00F7624E" w:rsidRPr="00F7624E" w:rsidTr="00D3679B">
        <w:trPr>
          <w:trHeight w:val="869"/>
        </w:trPr>
        <w:tc>
          <w:tcPr>
            <w:tcW w:w="4320" w:type="dxa"/>
          </w:tcPr>
          <w:p w:rsidR="00F7624E" w:rsidRDefault="00F7624E" w:rsidP="00F7624E">
            <w:pPr>
              <w:spacing w:line="252" w:lineRule="auto"/>
              <w:rPr>
                <w:rFonts w:ascii="Arial" w:hAnsi="Arial" w:cs="Arial"/>
                <w:sz w:val="24"/>
                <w:szCs w:val="24"/>
              </w:rPr>
            </w:pPr>
            <w:r w:rsidRPr="00F7624E">
              <w:rPr>
                <w:rFonts w:ascii="Arial" w:hAnsi="Arial" w:cs="Arial"/>
                <w:sz w:val="24"/>
                <w:szCs w:val="24"/>
              </w:rPr>
              <w:t xml:space="preserve">ACBH Quality Assurance (QA) </w:t>
            </w:r>
            <w:r w:rsidR="00D3679B">
              <w:rPr>
                <w:rFonts w:ascii="Arial" w:hAnsi="Arial" w:cs="Arial"/>
                <w:sz w:val="24"/>
                <w:szCs w:val="24"/>
              </w:rPr>
              <w:t>O</w:t>
            </w:r>
            <w:r w:rsidRPr="00F7624E">
              <w:rPr>
                <w:rFonts w:ascii="Arial" w:hAnsi="Arial" w:cs="Arial"/>
                <w:sz w:val="24"/>
                <w:szCs w:val="24"/>
              </w:rPr>
              <w:t>ffice</w:t>
            </w:r>
          </w:p>
          <w:p w:rsidR="00F7624E" w:rsidRPr="00F7624E" w:rsidRDefault="00F7624E" w:rsidP="00F7624E">
            <w:pPr>
              <w:spacing w:line="252" w:lineRule="auto"/>
              <w:rPr>
                <w:rFonts w:ascii="Arial" w:hAnsi="Arial" w:cs="Arial"/>
                <w:sz w:val="24"/>
                <w:szCs w:val="24"/>
              </w:rPr>
            </w:pPr>
            <w:r w:rsidRPr="00F7624E">
              <w:rPr>
                <w:rFonts w:ascii="Arial" w:hAnsi="Arial" w:cs="Arial"/>
                <w:sz w:val="24"/>
                <w:szCs w:val="24"/>
              </w:rPr>
              <w:t>2000 Embarcadero Cove, Suite 400</w:t>
            </w:r>
          </w:p>
          <w:p w:rsidR="00F7624E" w:rsidRPr="00F7624E" w:rsidRDefault="00F7624E" w:rsidP="00F7624E">
            <w:pPr>
              <w:spacing w:line="252" w:lineRule="auto"/>
              <w:rPr>
                <w:rFonts w:ascii="Arial" w:hAnsi="Arial" w:cs="Arial"/>
                <w:sz w:val="24"/>
                <w:szCs w:val="24"/>
              </w:rPr>
            </w:pPr>
            <w:r w:rsidRPr="00F7624E">
              <w:rPr>
                <w:rFonts w:ascii="Arial" w:hAnsi="Arial" w:cs="Arial"/>
                <w:sz w:val="24"/>
                <w:szCs w:val="24"/>
              </w:rPr>
              <w:t>Oakland, CA 94606</w:t>
            </w:r>
          </w:p>
        </w:tc>
        <w:tc>
          <w:tcPr>
            <w:tcW w:w="1572" w:type="dxa"/>
            <w:vAlign w:val="center"/>
          </w:tcPr>
          <w:p w:rsidR="00F7624E" w:rsidRDefault="00F7624E" w:rsidP="00BE7A30">
            <w:pPr>
              <w:spacing w:line="252" w:lineRule="auto"/>
              <w:ind w:left="720"/>
              <w:rPr>
                <w:rFonts w:ascii="Arial" w:hAnsi="Arial" w:cs="Arial"/>
                <w:sz w:val="24"/>
                <w:szCs w:val="24"/>
              </w:rPr>
            </w:pPr>
            <w:r>
              <w:rPr>
                <w:rFonts w:ascii="Arial" w:hAnsi="Arial" w:cs="Arial"/>
                <w:sz w:val="24"/>
                <w:szCs w:val="24"/>
              </w:rPr>
              <w:t>or</w:t>
            </w:r>
          </w:p>
        </w:tc>
        <w:tc>
          <w:tcPr>
            <w:tcW w:w="4003" w:type="dxa"/>
          </w:tcPr>
          <w:p w:rsidR="00F7624E" w:rsidRDefault="00F7624E" w:rsidP="00F7624E">
            <w:pPr>
              <w:spacing w:line="252" w:lineRule="auto"/>
              <w:ind w:left="720"/>
              <w:rPr>
                <w:rFonts w:ascii="Arial" w:hAnsi="Arial" w:cs="Arial"/>
                <w:sz w:val="24"/>
                <w:szCs w:val="24"/>
              </w:rPr>
            </w:pPr>
          </w:p>
          <w:p w:rsidR="00F7624E" w:rsidRDefault="00F7624E" w:rsidP="00F7624E">
            <w:pPr>
              <w:ind w:right="-126"/>
            </w:pPr>
            <w:r w:rsidRPr="00D53A92">
              <w:rPr>
                <w:rFonts w:ascii="Arial" w:hAnsi="Arial" w:cs="Arial"/>
                <w:sz w:val="24"/>
                <w:szCs w:val="24"/>
              </w:rPr>
              <w:t>FAX to: (510) 639-1346</w:t>
            </w:r>
          </w:p>
          <w:p w:rsidR="00F7624E" w:rsidRPr="00F7624E" w:rsidRDefault="00F7624E" w:rsidP="00F7624E">
            <w:pPr>
              <w:spacing w:line="252" w:lineRule="auto"/>
              <w:rPr>
                <w:rFonts w:ascii="Arial" w:hAnsi="Arial" w:cs="Arial"/>
                <w:sz w:val="24"/>
                <w:szCs w:val="24"/>
              </w:rPr>
            </w:pPr>
          </w:p>
        </w:tc>
      </w:tr>
    </w:tbl>
    <w:p w:rsidR="00F7624E" w:rsidRPr="00F7624E" w:rsidRDefault="00F7624E" w:rsidP="00F7624E">
      <w:pPr>
        <w:spacing w:after="0" w:line="252" w:lineRule="auto"/>
        <w:ind w:left="1440" w:firstLine="720"/>
        <w:rPr>
          <w:rFonts w:ascii="Arial" w:hAnsi="Arial" w:cs="Arial"/>
          <w:sz w:val="24"/>
          <w:szCs w:val="24"/>
        </w:rPr>
      </w:pPr>
    </w:p>
    <w:p w:rsidR="008D593F" w:rsidRDefault="002F2AD7" w:rsidP="00913664">
      <w:pPr>
        <w:ind w:right="-126"/>
      </w:pPr>
      <w:r>
        <w:rPr>
          <w:noProof/>
        </w:rPr>
        <w:lastRenderedPageBreak/>
        <mc:AlternateContent>
          <mc:Choice Requires="wps">
            <w:drawing>
              <wp:anchor distT="0" distB="0" distL="114300" distR="114300" simplePos="0" relativeHeight="251658240" behindDoc="0" locked="0" layoutInCell="0" allowOverlap="1" wp14:anchorId="3F53CC0C" wp14:editId="0CC7C952">
                <wp:simplePos x="0" y="0"/>
                <wp:positionH relativeFrom="margin">
                  <wp:posOffset>-1654175</wp:posOffset>
                </wp:positionH>
                <wp:positionV relativeFrom="page">
                  <wp:posOffset>685800</wp:posOffset>
                </wp:positionV>
                <wp:extent cx="10732770" cy="6810375"/>
                <wp:effectExtent l="0" t="0" r="0" b="9525"/>
                <wp:wrapThrough wrapText="bothSides">
                  <wp:wrapPolygon edited="0">
                    <wp:start x="77" y="0"/>
                    <wp:lineTo x="77" y="21570"/>
                    <wp:lineTo x="21470" y="21570"/>
                    <wp:lineTo x="21470" y="0"/>
                    <wp:lineTo x="77"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2770" cy="681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580" w:type="dxa"/>
                              <w:tblInd w:w="1615"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440"/>
                              <w:gridCol w:w="1350"/>
                              <w:gridCol w:w="1440"/>
                              <w:gridCol w:w="10350"/>
                            </w:tblGrid>
                            <w:tr w:rsidR="00D3679B" w:rsidRPr="00E86CF1" w:rsidTr="00D53A92">
                              <w:trPr>
                                <w:trHeight w:val="414"/>
                              </w:trPr>
                              <w:tc>
                                <w:tcPr>
                                  <w:tcW w:w="1440" w:type="dxa"/>
                                  <w:tcBorders>
                                    <w:top w:val="single" w:sz="6" w:space="0" w:color="000000"/>
                                    <w:left w:val="single" w:sz="4" w:space="0" w:color="000000"/>
                                    <w:bottom w:val="single" w:sz="4" w:space="0" w:color="000000"/>
                                    <w:right w:val="single" w:sz="4" w:space="0" w:color="000000"/>
                                  </w:tcBorders>
                                  <w:vAlign w:val="center"/>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NOABD</w:t>
                                  </w:r>
                                </w:p>
                              </w:tc>
                              <w:tc>
                                <w:tcPr>
                                  <w:tcW w:w="1350" w:type="dxa"/>
                                  <w:tcBorders>
                                    <w:top w:val="single" w:sz="6"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Who Issues Notice?</w:t>
                                  </w:r>
                                </w:p>
                              </w:tc>
                              <w:tc>
                                <w:tcPr>
                                  <w:tcW w:w="1440" w:type="dxa"/>
                                  <w:tcBorders>
                                    <w:top w:val="single" w:sz="6" w:space="0" w:color="000000"/>
                                    <w:left w:val="single" w:sz="4" w:space="0" w:color="000000"/>
                                    <w:bottom w:val="single" w:sz="4" w:space="0" w:color="000000"/>
                                    <w:right w:val="single" w:sz="4" w:space="0" w:color="000000"/>
                                  </w:tcBorders>
                                  <w:vAlign w:val="center"/>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Who Receives Notice?</w:t>
                                  </w:r>
                                </w:p>
                              </w:tc>
                              <w:tc>
                                <w:tcPr>
                                  <w:tcW w:w="10350" w:type="dxa"/>
                                  <w:tcBorders>
                                    <w:top w:val="single" w:sz="6" w:space="0" w:color="000000"/>
                                    <w:left w:val="single" w:sz="4" w:space="0" w:color="000000"/>
                                    <w:bottom w:val="single" w:sz="4" w:space="0" w:color="auto"/>
                                    <w:right w:val="single" w:sz="4" w:space="0" w:color="000000"/>
                                  </w:tcBorders>
                                  <w:vAlign w:val="center"/>
                                </w:tcPr>
                                <w:p w:rsidR="00D3679B" w:rsidRPr="00E86CF1" w:rsidRDefault="00D3679B" w:rsidP="007073A6">
                                  <w:pPr>
                                    <w:pStyle w:val="Default"/>
                                    <w:rPr>
                                      <w:rFonts w:ascii="Arial" w:hAnsi="Arial" w:cs="Arial"/>
                                      <w:sz w:val="20"/>
                                      <w:szCs w:val="20"/>
                                    </w:rPr>
                                  </w:pPr>
                                  <w:r w:rsidRPr="00E86CF1">
                                    <w:rPr>
                                      <w:rFonts w:ascii="Arial" w:hAnsi="Arial" w:cs="Arial"/>
                                      <w:b/>
                                      <w:bCs/>
                                      <w:sz w:val="20"/>
                                      <w:szCs w:val="20"/>
                                    </w:rPr>
                                    <w:t>Criteria for Beneficiary Notice</w:t>
                                  </w:r>
                                </w:p>
                              </w:tc>
                            </w:tr>
                            <w:tr w:rsidR="00D3679B" w:rsidRPr="00E86CF1" w:rsidTr="00D53A92">
                              <w:trPr>
                                <w:trHeight w:val="725"/>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 xml:space="preserve">Denial </w:t>
                                  </w:r>
                                  <w:r w:rsidR="008E41B0">
                                    <w:rPr>
                                      <w:rFonts w:ascii="Arial" w:hAnsi="Arial" w:cs="Arial"/>
                                      <w:b/>
                                      <w:bCs/>
                                      <w:sz w:val="20"/>
                                      <w:szCs w:val="20"/>
                                    </w:rPr>
                                    <w:t>(of Authorization)</w:t>
                                  </w:r>
                                  <w:r w:rsidRPr="00E86CF1">
                                    <w:rPr>
                                      <w:rFonts w:ascii="Arial" w:hAnsi="Arial" w:cs="Arial"/>
                                      <w:b/>
                                      <w:bCs/>
                                      <w:sz w:val="20"/>
                                      <w:szCs w:val="20"/>
                                    </w:rPr>
                                    <w:t>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auto"/>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auto"/>
                                    <w:left w:val="single" w:sz="4" w:space="0" w:color="auto"/>
                                    <w:bottom w:val="single" w:sz="4" w:space="0" w:color="auto"/>
                                    <w:right w:val="single" w:sz="4" w:space="0" w:color="auto"/>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The BHP denies a request for a service. Denials include determinations based on type or level of service, requirements for medical necessity, appropriateness, setting or effectiveness of a covered benefit. The BHP must mail the notice to the beneficiary within two (2) business days of the decision.</w:t>
                                  </w:r>
                                </w:p>
                              </w:tc>
                            </w:tr>
                            <w:tr w:rsidR="00D3679B" w:rsidRPr="00E86CF1" w:rsidTr="00D53A92">
                              <w:trPr>
                                <w:trHeight w:val="737"/>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Payment Denial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auto"/>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auto"/>
                                    <w:left w:val="single" w:sz="4" w:space="0" w:color="auto"/>
                                    <w:bottom w:val="single" w:sz="4" w:space="0" w:color="auto"/>
                                    <w:right w:val="single" w:sz="4" w:space="0" w:color="auto"/>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ACBH denies, in whole or in part, for any reason, a provider’s request for payment for a service that has already been delivered to a beneficiary. ACBH must mail the notice to the beneficiary at the time of any action denying the provider’s claim.</w:t>
                                  </w:r>
                                </w:p>
                              </w:tc>
                            </w:tr>
                            <w:tr w:rsidR="00D3679B" w:rsidRPr="00E86CF1" w:rsidTr="00D53A92">
                              <w:trPr>
                                <w:trHeight w:val="890"/>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sz w:val="20"/>
                                      <w:szCs w:val="20"/>
                                    </w:rPr>
                                  </w:pPr>
                                  <w:r w:rsidRPr="00E86CF1">
                                    <w:rPr>
                                      <w:rFonts w:ascii="Arial" w:hAnsi="Arial" w:cs="Arial"/>
                                      <w:b/>
                                      <w:sz w:val="20"/>
                                      <w:szCs w:val="20"/>
                                    </w:rPr>
                                    <w:t>Delivery System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561996" w:rsidP="009F1841">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9F1841">
                                  <w:pPr>
                                    <w:pStyle w:val="Default"/>
                                    <w:ind w:left="72"/>
                                    <w:rPr>
                                      <w:rFonts w:ascii="Arial" w:hAnsi="Arial" w:cs="Arial"/>
                                      <w:sz w:val="20"/>
                                      <w:szCs w:val="20"/>
                                    </w:rPr>
                                  </w:pPr>
                                  <w:r w:rsidRPr="00E86CF1">
                                    <w:rPr>
                                      <w:rFonts w:ascii="Arial" w:hAnsi="Arial" w:cs="Arial"/>
                                      <w:sz w:val="20"/>
                                      <w:szCs w:val="20"/>
                                    </w:rPr>
                                    <w:t>Benefi</w:t>
                                  </w:r>
                                  <w:r w:rsidR="009F1841">
                                    <w:rPr>
                                      <w:rFonts w:ascii="Arial" w:hAnsi="Arial" w:cs="Arial"/>
                                      <w:sz w:val="20"/>
                                      <w:szCs w:val="20"/>
                                    </w:rPr>
                                    <w:t>ciary or parent/legal guardian</w:t>
                                  </w:r>
                                </w:p>
                              </w:tc>
                              <w:tc>
                                <w:tcPr>
                                  <w:tcW w:w="10350" w:type="dxa"/>
                                  <w:tcBorders>
                                    <w:top w:val="single" w:sz="4" w:space="0" w:color="auto"/>
                                    <w:left w:val="single" w:sz="4" w:space="0" w:color="000000"/>
                                    <w:bottom w:val="single" w:sz="4" w:space="0" w:color="000000"/>
                                    <w:right w:val="single" w:sz="4" w:space="0" w:color="000000"/>
                                  </w:tcBorders>
                                </w:tcPr>
                                <w:p w:rsidR="00D3679B" w:rsidRPr="00E86CF1" w:rsidRDefault="00561996" w:rsidP="009F1841">
                                  <w:pPr>
                                    <w:pStyle w:val="Default"/>
                                    <w:ind w:left="72"/>
                                    <w:rPr>
                                      <w:rFonts w:ascii="Arial" w:hAnsi="Arial" w:cs="Arial"/>
                                      <w:color w:val="auto"/>
                                      <w:sz w:val="20"/>
                                      <w:szCs w:val="20"/>
                                    </w:rPr>
                                  </w:pPr>
                                  <w:r>
                                    <w:rPr>
                                      <w:rFonts w:ascii="Arial" w:hAnsi="Arial" w:cs="Arial"/>
                                      <w:color w:val="auto"/>
                                      <w:sz w:val="20"/>
                                      <w:szCs w:val="20"/>
                                    </w:rPr>
                                    <w:t>The BHP</w:t>
                                  </w:r>
                                  <w:r w:rsidR="00D3679B" w:rsidRPr="00E86CF1">
                                    <w:rPr>
                                      <w:rFonts w:ascii="Arial" w:hAnsi="Arial" w:cs="Arial"/>
                                      <w:color w:val="auto"/>
                                      <w:sz w:val="20"/>
                                      <w:szCs w:val="20"/>
                                    </w:rPr>
                                    <w:t xml:space="preserve"> has determined that the beneficiary does not meet the criteria to be eligibl</w:t>
                                  </w:r>
                                  <w:r w:rsidR="009F1841">
                                    <w:rPr>
                                      <w:rFonts w:ascii="Arial" w:hAnsi="Arial" w:cs="Arial"/>
                                      <w:color w:val="auto"/>
                                      <w:sz w:val="20"/>
                                      <w:szCs w:val="20"/>
                                    </w:rPr>
                                    <w:t xml:space="preserve">e for specialty mental health services (SMHS).  </w:t>
                                  </w:r>
                                  <w:r w:rsidR="00D3679B" w:rsidRPr="00E86CF1">
                                    <w:rPr>
                                      <w:rFonts w:ascii="Arial" w:hAnsi="Arial" w:cs="Arial"/>
                                      <w:color w:val="auto"/>
                                      <w:sz w:val="20"/>
                                      <w:szCs w:val="20"/>
                                    </w:rPr>
                                    <w:t>The beneficiary will be referred to the Managed Care Plan, or other appropr</w:t>
                                  </w:r>
                                  <w:r w:rsidR="009F1841">
                                    <w:rPr>
                                      <w:rFonts w:ascii="Arial" w:hAnsi="Arial" w:cs="Arial"/>
                                      <w:color w:val="auto"/>
                                      <w:sz w:val="20"/>
                                      <w:szCs w:val="20"/>
                                    </w:rPr>
                                    <w:t xml:space="preserve">iate system, for mental health and/or </w:t>
                                  </w:r>
                                  <w:r w:rsidR="00D3679B" w:rsidRPr="00E86CF1">
                                    <w:rPr>
                                      <w:rFonts w:ascii="Arial" w:hAnsi="Arial" w:cs="Arial"/>
                                      <w:color w:val="auto"/>
                                      <w:sz w:val="20"/>
                                      <w:szCs w:val="20"/>
                                    </w:rPr>
                                    <w:t>other services. The Plan must mail the notice to the beneficiary within two (2) business days of the decision.</w:t>
                                  </w:r>
                                  <w:r w:rsidR="00960A1C">
                                    <w:rPr>
                                      <w:rFonts w:ascii="Arial" w:hAnsi="Arial" w:cs="Arial"/>
                                      <w:color w:val="auto"/>
                                      <w:sz w:val="20"/>
                                      <w:szCs w:val="20"/>
                                    </w:rPr>
                                    <w:t xml:space="preserve">  NOTE:  This template does not apply to SUD services.  </w:t>
                                  </w:r>
                                </w:p>
                              </w:tc>
                            </w:tr>
                            <w:tr w:rsidR="00D3679B" w:rsidRPr="00E86CF1" w:rsidTr="00D53A92">
                              <w:trPr>
                                <w:trHeight w:val="761"/>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Modification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00B050"/>
                                      <w:sz w:val="20"/>
                                      <w:szCs w:val="20"/>
                                      <w:vertAlign w:val="superscript"/>
                                    </w:rPr>
                                  </w:pPr>
                                  <w:r w:rsidRPr="00E86CF1">
                                    <w:rPr>
                                      <w:rFonts w:ascii="Arial" w:hAnsi="Arial" w:cs="Arial"/>
                                      <w:color w:val="auto"/>
                                      <w:sz w:val="20"/>
                                      <w:szCs w:val="20"/>
                                    </w:rPr>
                                    <w:t>The BHP modifies or limits a provider’s request for a service, including reductions in frequency and/or duration of services, and approval of alternative treatments and services. The BHP must mail the notice to the beneficiary within two (2) business days of the decision.  Requires provider notification within 24 hours.</w:t>
                                  </w:r>
                                  <w:r w:rsidRPr="00E86CF1">
                                    <w:rPr>
                                      <w:rFonts w:ascii="Arial" w:hAnsi="Arial" w:cs="Arial"/>
                                      <w:b/>
                                      <w:color w:val="00B050"/>
                                      <w:sz w:val="20"/>
                                      <w:szCs w:val="20"/>
                                      <w:vertAlign w:val="superscript"/>
                                    </w:rPr>
                                    <w:t>1</w:t>
                                  </w:r>
                                </w:p>
                              </w:tc>
                            </w:tr>
                            <w:tr w:rsidR="00D3679B" w:rsidRPr="00E86CF1" w:rsidTr="00D53A92">
                              <w:trPr>
                                <w:trHeight w:val="446"/>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Termination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CA2859" w:rsidP="00CA2859">
                                  <w:pPr>
                                    <w:pStyle w:val="Default"/>
                                    <w:rPr>
                                      <w:rFonts w:ascii="Arial" w:hAnsi="Arial" w:cs="Arial"/>
                                      <w:sz w:val="20"/>
                                      <w:szCs w:val="20"/>
                                    </w:rPr>
                                  </w:pPr>
                                  <w:r>
                                    <w:rPr>
                                      <w:rFonts w:ascii="Arial" w:hAnsi="Arial" w:cs="Arial"/>
                                      <w:color w:val="000000" w:themeColor="text1"/>
                                      <w:sz w:val="20"/>
                                      <w:szCs w:val="20"/>
                                    </w:rPr>
                                    <w:t xml:space="preserve">The </w:t>
                                  </w:r>
                                  <w:r w:rsidR="000C2C5C" w:rsidRPr="00CA2859">
                                    <w:rPr>
                                      <w:rFonts w:ascii="Arial" w:hAnsi="Arial" w:cs="Arial"/>
                                      <w:color w:val="000000" w:themeColor="text1"/>
                                      <w:sz w:val="20"/>
                                      <w:szCs w:val="20"/>
                                    </w:rPr>
                                    <w:t>BHP</w:t>
                                  </w:r>
                                  <w:r w:rsidR="00D3679B" w:rsidRPr="00CA2859">
                                    <w:rPr>
                                      <w:rFonts w:ascii="Arial" w:hAnsi="Arial" w:cs="Arial"/>
                                      <w:color w:val="000000" w:themeColor="text1"/>
                                      <w:sz w:val="20"/>
                                      <w:szCs w:val="20"/>
                                    </w:rPr>
                                    <w:t xml:space="preserve"> </w:t>
                                  </w:r>
                                  <w:r w:rsidR="00D3679B" w:rsidRPr="00E86CF1">
                                    <w:rPr>
                                      <w:rFonts w:ascii="Arial" w:hAnsi="Arial" w:cs="Arial"/>
                                      <w:color w:val="auto"/>
                                      <w:sz w:val="20"/>
                                      <w:szCs w:val="20"/>
                                    </w:rPr>
                                    <w:t xml:space="preserve">terminates, reduces or suspends a previously authorized service.  </w:t>
                                  </w:r>
                                  <w:r w:rsidR="000C2C5C" w:rsidRPr="00CA2859">
                                    <w:rPr>
                                      <w:rFonts w:ascii="Arial" w:hAnsi="Arial" w:cs="Arial"/>
                                      <w:color w:val="000000" w:themeColor="text1"/>
                                      <w:sz w:val="20"/>
                                      <w:szCs w:val="20"/>
                                    </w:rPr>
                                    <w:t xml:space="preserve">The BHP </w:t>
                                  </w:r>
                                  <w:r w:rsidR="00D3679B" w:rsidRPr="00E86CF1">
                                    <w:rPr>
                                      <w:rFonts w:ascii="Arial" w:hAnsi="Arial" w:cs="Arial"/>
                                      <w:color w:val="auto"/>
                                      <w:sz w:val="20"/>
                                      <w:szCs w:val="20"/>
                                    </w:rPr>
                                    <w:t>must mail the notice to the beneficiary at least ten (10) days before the date of the action.  Requires provider notification within 24 hours.</w:t>
                                  </w:r>
                                  <w:r w:rsidR="00D3679B" w:rsidRPr="00E86CF1">
                                    <w:rPr>
                                      <w:rFonts w:ascii="Arial" w:hAnsi="Arial" w:cs="Arial"/>
                                      <w:b/>
                                      <w:color w:val="00B050"/>
                                      <w:sz w:val="20"/>
                                      <w:szCs w:val="20"/>
                                      <w:vertAlign w:val="superscript"/>
                                    </w:rPr>
                                    <w:t>1</w:t>
                                  </w:r>
                                </w:p>
                              </w:tc>
                            </w:tr>
                            <w:tr w:rsidR="00D3679B" w:rsidRPr="00E86CF1" w:rsidTr="00D53A92">
                              <w:trPr>
                                <w:trHeight w:val="1115"/>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Authorization Delay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 xml:space="preserve">When there is a delay in processing a provider’s request for authorization of specialty mental health services or substance use disorder residential services. When ACBH extends the timeframes to make an authorization decision, it is a delay in processing a provider’s request. This includes extensions granted at the request of the beneficiary or provider, and/or those </w:t>
                                  </w:r>
                                  <w:bookmarkStart w:id="0" w:name="_GoBack"/>
                                  <w:bookmarkEnd w:id="0"/>
                                  <w:r w:rsidRPr="00E86CF1">
                                    <w:rPr>
                                      <w:rFonts w:ascii="Arial" w:hAnsi="Arial" w:cs="Arial"/>
                                      <w:color w:val="auto"/>
                                      <w:sz w:val="20"/>
                                      <w:szCs w:val="20"/>
                                    </w:rPr>
                                    <w:t xml:space="preserve">granted when there is a need for additional information from the beneficiary or provider, when the extension is in the beneficiary’s interest. ACBH must mail the notice to the beneficiary within two (2) business days of the decision. </w:t>
                                  </w:r>
                                </w:p>
                              </w:tc>
                            </w:tr>
                            <w:tr w:rsidR="00D3679B" w:rsidRPr="00E86CF1" w:rsidTr="00D53A92">
                              <w:trPr>
                                <w:trHeight w:val="851"/>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Timely Access Notice</w:t>
                                  </w:r>
                                </w:p>
                                <w:p w:rsidR="00D3679B" w:rsidRPr="00E86CF1" w:rsidRDefault="00D3679B" w:rsidP="0019073F">
                                  <w:pPr>
                                    <w:pStyle w:val="Default"/>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sz w:val="20"/>
                                      <w:szCs w:val="20"/>
                                    </w:rPr>
                                    <w:t xml:space="preserve">When there is a delay in providing the beneficiary with timely services, as required by the timely access standards applicable to the delayed service. </w:t>
                                  </w:r>
                                  <w:r w:rsidRPr="00E86CF1">
                                    <w:rPr>
                                      <w:rFonts w:ascii="Arial" w:hAnsi="Arial" w:cs="Arial"/>
                                      <w:color w:val="auto"/>
                                      <w:sz w:val="20"/>
                                      <w:szCs w:val="20"/>
                                    </w:rPr>
                                    <w:t>The BHP must mail the notice to the beneficiary within two (2) business days.</w:t>
                                  </w:r>
                                </w:p>
                              </w:tc>
                            </w:tr>
                            <w:tr w:rsidR="00D3679B" w:rsidRPr="00E86CF1" w:rsidTr="00D53A92">
                              <w:trPr>
                                <w:trHeight w:val="272"/>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Financial Liability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ACBH denies a beneficiary’s request to dispute financial liability, including cost-sharing and other beneficiary financial liabilities. ACBH must mail the notice to the beneficiary at the time of any action regarding the dispute.</w:t>
                                  </w:r>
                                </w:p>
                              </w:tc>
                            </w:tr>
                            <w:tr w:rsidR="00D3679B" w:rsidRPr="00E86CF1" w:rsidTr="00D53A92">
                              <w:trPr>
                                <w:trHeight w:val="272"/>
                              </w:trPr>
                              <w:tc>
                                <w:tcPr>
                                  <w:tcW w:w="144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rPr>
                                      <w:rFonts w:ascii="Arial" w:hAnsi="Arial" w:cs="Arial"/>
                                      <w:b/>
                                      <w:bCs/>
                                      <w:sz w:val="20"/>
                                      <w:szCs w:val="20"/>
                                    </w:rPr>
                                  </w:pPr>
                                  <w:r w:rsidRPr="007073A6">
                                    <w:rPr>
                                      <w:rFonts w:ascii="Arial" w:hAnsi="Arial" w:cs="Arial"/>
                                      <w:b/>
                                      <w:bCs/>
                                      <w:sz w:val="20"/>
                                      <w:szCs w:val="20"/>
                                    </w:rPr>
                                    <w:t>Grievance &amp; Appeal Timely Resolution</w:t>
                                  </w:r>
                                </w:p>
                              </w:tc>
                              <w:tc>
                                <w:tcPr>
                                  <w:tcW w:w="135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rPr>
                                      <w:rFonts w:ascii="Arial" w:hAnsi="Arial" w:cs="Arial"/>
                                      <w:sz w:val="20"/>
                                      <w:szCs w:val="20"/>
                                    </w:rPr>
                                  </w:pPr>
                                  <w:r w:rsidRPr="007073A6">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ind w:left="72"/>
                                    <w:rPr>
                                      <w:rFonts w:ascii="Arial" w:hAnsi="Arial" w:cs="Arial"/>
                                      <w:sz w:val="20"/>
                                      <w:szCs w:val="20"/>
                                    </w:rPr>
                                  </w:pPr>
                                  <w:r w:rsidRPr="007073A6">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7073A6">
                                    <w:rPr>
                                      <w:rFonts w:ascii="Arial" w:hAnsi="Arial" w:cs="Arial"/>
                                      <w:color w:val="auto"/>
                                      <w:sz w:val="20"/>
                                      <w:szCs w:val="20"/>
                                    </w:rPr>
                                    <w:t>Failure to timely resolve grievances and/or appeals.  Use this template when the BHP does not meet required timeframes for the standard resolution of grievances and appeals.</w:t>
                                  </w:r>
                                  <w:r w:rsidRPr="00E86CF1">
                                    <w:rPr>
                                      <w:rFonts w:ascii="Arial" w:hAnsi="Arial" w:cs="Arial"/>
                                      <w:color w:val="auto"/>
                                      <w:sz w:val="20"/>
                                      <w:szCs w:val="20"/>
                                    </w:rPr>
                                    <w:t xml:space="preserve">  </w:t>
                                  </w:r>
                                </w:p>
                              </w:tc>
                            </w:tr>
                          </w:tbl>
                          <w:p w:rsidR="00D3679B" w:rsidRPr="00254550" w:rsidRDefault="00D3679B" w:rsidP="00D53A92">
                            <w:pPr>
                              <w:spacing w:before="40" w:after="0" w:line="240" w:lineRule="exact"/>
                              <w:ind w:left="1620" w:right="330"/>
                              <w:jc w:val="both"/>
                              <w:rPr>
                                <w:rFonts w:ascii="Arial" w:hAnsi="Arial" w:cs="Arial"/>
                              </w:rPr>
                            </w:pPr>
                            <w:r w:rsidRPr="00254550">
                              <w:rPr>
                                <w:rFonts w:ascii="Arial" w:hAnsi="Arial" w:cs="Arial"/>
                                <w:sz w:val="20"/>
                                <w:szCs w:val="20"/>
                              </w:rPr>
                              <w:t xml:space="preserve">NOTE: </w:t>
                            </w:r>
                            <w:r w:rsidRPr="00254550">
                              <w:rPr>
                                <w:rFonts w:ascii="Arial" w:hAnsi="Arial" w:cs="Arial"/>
                                <w:color w:val="000000"/>
                                <w:sz w:val="20"/>
                                <w:szCs w:val="20"/>
                              </w:rPr>
                              <w:t>The BHP must also communicate the decision to the affected provider within 24 hours of making the decision, initially by telephone or facsimile, and then by writing, except for decisions rendered retrospectively.</w:t>
                            </w:r>
                            <w:r w:rsidRPr="00254550">
                              <w:rPr>
                                <w:rFonts w:ascii="Arial" w:hAnsi="Arial" w:cs="Arial"/>
                                <w:b/>
                                <w:color w:val="00B050"/>
                                <w:sz w:val="20"/>
                                <w:szCs w:val="20"/>
                                <w:vertAlign w:val="superscript"/>
                              </w:rPr>
                              <w:t xml:space="preserve">1 </w:t>
                            </w:r>
                            <w:r w:rsidRPr="00254550">
                              <w:rPr>
                                <w:rFonts w:ascii="Arial" w:hAnsi="Arial" w:cs="Arial"/>
                                <w:sz w:val="20"/>
                                <w:szCs w:val="20"/>
                              </w:rPr>
                              <w:t>Services</w:t>
                            </w:r>
                            <w:r w:rsidR="008C5E0C" w:rsidRPr="00254550">
                              <w:rPr>
                                <w:rFonts w:ascii="Arial" w:hAnsi="Arial" w:cs="Arial"/>
                                <w:sz w:val="20"/>
                                <w:szCs w:val="20"/>
                              </w:rPr>
                              <w:t xml:space="preserve"> not authorized by ACBH</w:t>
                            </w:r>
                            <w:r w:rsidRPr="00254550">
                              <w:rPr>
                                <w:rFonts w:ascii="Arial" w:hAnsi="Arial" w:cs="Arial"/>
                                <w:sz w:val="20"/>
                                <w:szCs w:val="20"/>
                              </w:rPr>
                              <w:t xml:space="preserve"> that are reduced, modified, or terminated </w:t>
                            </w:r>
                            <w:r w:rsidR="008C5E0C" w:rsidRPr="00254550">
                              <w:rPr>
                                <w:rFonts w:ascii="Arial" w:hAnsi="Arial" w:cs="Arial"/>
                                <w:sz w:val="20"/>
                                <w:szCs w:val="20"/>
                              </w:rPr>
                              <w:t xml:space="preserve">as a </w:t>
                            </w:r>
                            <w:r w:rsidRPr="00254550">
                              <w:rPr>
                                <w:rFonts w:ascii="Arial" w:hAnsi="Arial" w:cs="Arial"/>
                                <w:sz w:val="20"/>
                                <w:szCs w:val="20"/>
                              </w:rPr>
                              <w:t>result of a treatment Team/Clinician decision based on the beneficiary’s clinical condition</w:t>
                            </w:r>
                            <w:r w:rsidR="00396E94">
                              <w:rPr>
                                <w:rFonts w:ascii="Arial" w:hAnsi="Arial" w:cs="Arial"/>
                                <w:sz w:val="20"/>
                                <w:szCs w:val="20"/>
                              </w:rPr>
                              <w:t xml:space="preserve"> and/or progress in treatment are</w:t>
                            </w:r>
                            <w:r w:rsidRPr="00254550">
                              <w:rPr>
                                <w:rFonts w:ascii="Arial" w:hAnsi="Arial" w:cs="Arial"/>
                                <w:sz w:val="20"/>
                                <w:szCs w:val="20"/>
                              </w:rPr>
                              <w:t xml:space="preserve"> not subject to an adverse benefit determination notification. The beneficiary still has the right to appeal the decision with the BHP</w:t>
                            </w:r>
                            <w:r w:rsidR="008C5E0C" w:rsidRPr="00254550">
                              <w:rPr>
                                <w:rFonts w:ascii="Arial" w:hAnsi="Arial" w:cs="Arial"/>
                                <w:sz w:val="20"/>
                                <w:szCs w:val="20"/>
                              </w:rPr>
                              <w:t>.</w:t>
                            </w:r>
                            <w:r w:rsidRPr="00254550">
                              <w:rPr>
                                <w:rFonts w:ascii="Arial" w:hAnsi="Arial" w:cs="Arial"/>
                                <w:sz w:val="20"/>
                                <w:szCs w:val="20"/>
                              </w:rPr>
                              <w:t xml:space="preserve">  </w:t>
                            </w:r>
                            <w:r w:rsidRPr="00254550">
                              <w:rPr>
                                <w:rFonts w:ascii="Arial" w:hAnsi="Arial" w:cs="Arial"/>
                                <w:sz w:val="20"/>
                                <w:szCs w:val="20"/>
                              </w:rPr>
                              <w:br/>
                            </w:r>
                            <w:r w:rsidRPr="00254550">
                              <w:rPr>
                                <w:rFonts w:ascii="Arial" w:hAnsi="Arial" w:cs="Arial"/>
                              </w:rPr>
                              <w:t xml:space="preserve"> </w:t>
                            </w: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3CC0C" id="_x0000_t202" coordsize="21600,21600" o:spt="202" path="m,l,21600r21600,l21600,xe">
                <v:stroke joinstyle="miter"/>
                <v:path gradientshapeok="t" o:connecttype="rect"/>
              </v:shapetype>
              <v:shape id="Text Box 2" o:spid="_x0000_s1026" type="#_x0000_t202" style="position:absolute;margin-left:-130.25pt;margin-top:54pt;width:845.1pt;height:53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u1tQIAALs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" o:allowincell="f" filled="f" stroked="f">
                <v:textbox>
                  <w:txbxContent>
                    <w:tbl>
                      <w:tblPr>
                        <w:tblW w:w="14580" w:type="dxa"/>
                        <w:tblInd w:w="1615"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440"/>
                        <w:gridCol w:w="1350"/>
                        <w:gridCol w:w="1440"/>
                        <w:gridCol w:w="10350"/>
                      </w:tblGrid>
                      <w:tr w:rsidR="00D3679B" w:rsidRPr="00E86CF1" w:rsidTr="00D53A92">
                        <w:trPr>
                          <w:trHeight w:val="414"/>
                        </w:trPr>
                        <w:tc>
                          <w:tcPr>
                            <w:tcW w:w="1440" w:type="dxa"/>
                            <w:tcBorders>
                              <w:top w:val="single" w:sz="6" w:space="0" w:color="000000"/>
                              <w:left w:val="single" w:sz="4" w:space="0" w:color="000000"/>
                              <w:bottom w:val="single" w:sz="4" w:space="0" w:color="000000"/>
                              <w:right w:val="single" w:sz="4" w:space="0" w:color="000000"/>
                            </w:tcBorders>
                            <w:vAlign w:val="center"/>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NOABD</w:t>
                            </w:r>
                          </w:p>
                        </w:tc>
                        <w:tc>
                          <w:tcPr>
                            <w:tcW w:w="1350" w:type="dxa"/>
                            <w:tcBorders>
                              <w:top w:val="single" w:sz="6"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Who Issues Notice?</w:t>
                            </w:r>
                          </w:p>
                        </w:tc>
                        <w:tc>
                          <w:tcPr>
                            <w:tcW w:w="1440" w:type="dxa"/>
                            <w:tcBorders>
                              <w:top w:val="single" w:sz="6" w:space="0" w:color="000000"/>
                              <w:left w:val="single" w:sz="4" w:space="0" w:color="000000"/>
                              <w:bottom w:val="single" w:sz="4" w:space="0" w:color="000000"/>
                              <w:right w:val="single" w:sz="4" w:space="0" w:color="000000"/>
                            </w:tcBorders>
                            <w:vAlign w:val="center"/>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Who Receives Notice?</w:t>
                            </w:r>
                          </w:p>
                        </w:tc>
                        <w:tc>
                          <w:tcPr>
                            <w:tcW w:w="10350" w:type="dxa"/>
                            <w:tcBorders>
                              <w:top w:val="single" w:sz="6" w:space="0" w:color="000000"/>
                              <w:left w:val="single" w:sz="4" w:space="0" w:color="000000"/>
                              <w:bottom w:val="single" w:sz="4" w:space="0" w:color="auto"/>
                              <w:right w:val="single" w:sz="4" w:space="0" w:color="000000"/>
                            </w:tcBorders>
                            <w:vAlign w:val="center"/>
                          </w:tcPr>
                          <w:p w:rsidR="00D3679B" w:rsidRPr="00E86CF1" w:rsidRDefault="00D3679B" w:rsidP="007073A6">
                            <w:pPr>
                              <w:pStyle w:val="Default"/>
                              <w:rPr>
                                <w:rFonts w:ascii="Arial" w:hAnsi="Arial" w:cs="Arial"/>
                                <w:sz w:val="20"/>
                                <w:szCs w:val="20"/>
                              </w:rPr>
                            </w:pPr>
                            <w:r w:rsidRPr="00E86CF1">
                              <w:rPr>
                                <w:rFonts w:ascii="Arial" w:hAnsi="Arial" w:cs="Arial"/>
                                <w:b/>
                                <w:bCs/>
                                <w:sz w:val="20"/>
                                <w:szCs w:val="20"/>
                              </w:rPr>
                              <w:t>Criteria for Beneficiary Notice</w:t>
                            </w:r>
                          </w:p>
                        </w:tc>
                      </w:tr>
                      <w:tr w:rsidR="00D3679B" w:rsidRPr="00E86CF1" w:rsidTr="00D53A92">
                        <w:trPr>
                          <w:trHeight w:val="725"/>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 xml:space="preserve">Denial </w:t>
                            </w:r>
                            <w:r w:rsidR="008E41B0">
                              <w:rPr>
                                <w:rFonts w:ascii="Arial" w:hAnsi="Arial" w:cs="Arial"/>
                                <w:b/>
                                <w:bCs/>
                                <w:sz w:val="20"/>
                                <w:szCs w:val="20"/>
                              </w:rPr>
                              <w:t>(of Authorization)</w:t>
                            </w:r>
                            <w:r w:rsidRPr="00E86CF1">
                              <w:rPr>
                                <w:rFonts w:ascii="Arial" w:hAnsi="Arial" w:cs="Arial"/>
                                <w:b/>
                                <w:bCs/>
                                <w:sz w:val="20"/>
                                <w:szCs w:val="20"/>
                              </w:rPr>
                              <w:t>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auto"/>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auto"/>
                              <w:left w:val="single" w:sz="4" w:space="0" w:color="auto"/>
                              <w:bottom w:val="single" w:sz="4" w:space="0" w:color="auto"/>
                              <w:right w:val="single" w:sz="4" w:space="0" w:color="auto"/>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The BHP denies a request for a service. Denials include determinations based on type or level of service, requirements for medical necessity, appropriateness, setting or effectiveness of a covered benefit. The BHP must mail the notice to the beneficiary within two (2) business days of the decision.</w:t>
                            </w:r>
                          </w:p>
                        </w:tc>
                      </w:tr>
                      <w:tr w:rsidR="00D3679B" w:rsidRPr="00E86CF1" w:rsidTr="00D53A92">
                        <w:trPr>
                          <w:trHeight w:val="737"/>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Payment Denial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auto"/>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auto"/>
                              <w:left w:val="single" w:sz="4" w:space="0" w:color="auto"/>
                              <w:bottom w:val="single" w:sz="4" w:space="0" w:color="auto"/>
                              <w:right w:val="single" w:sz="4" w:space="0" w:color="auto"/>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ACBH denies, in whole or in part, for any reason, a provider’s request for payment for a service that has already been delivered to a beneficiary. ACBH must mail the notice to the beneficiary at the time of any action denying the provider’s claim.</w:t>
                            </w:r>
                          </w:p>
                        </w:tc>
                      </w:tr>
                      <w:tr w:rsidR="00D3679B" w:rsidRPr="00E86CF1" w:rsidTr="00D53A92">
                        <w:trPr>
                          <w:trHeight w:val="890"/>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sz w:val="20"/>
                                <w:szCs w:val="20"/>
                              </w:rPr>
                            </w:pPr>
                            <w:r w:rsidRPr="00E86CF1">
                              <w:rPr>
                                <w:rFonts w:ascii="Arial" w:hAnsi="Arial" w:cs="Arial"/>
                                <w:b/>
                                <w:sz w:val="20"/>
                                <w:szCs w:val="20"/>
                              </w:rPr>
                              <w:t>Delivery System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561996" w:rsidP="009F1841">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9F1841">
                            <w:pPr>
                              <w:pStyle w:val="Default"/>
                              <w:ind w:left="72"/>
                              <w:rPr>
                                <w:rFonts w:ascii="Arial" w:hAnsi="Arial" w:cs="Arial"/>
                                <w:sz w:val="20"/>
                                <w:szCs w:val="20"/>
                              </w:rPr>
                            </w:pPr>
                            <w:r w:rsidRPr="00E86CF1">
                              <w:rPr>
                                <w:rFonts w:ascii="Arial" w:hAnsi="Arial" w:cs="Arial"/>
                                <w:sz w:val="20"/>
                                <w:szCs w:val="20"/>
                              </w:rPr>
                              <w:t>Benefi</w:t>
                            </w:r>
                            <w:r w:rsidR="009F1841">
                              <w:rPr>
                                <w:rFonts w:ascii="Arial" w:hAnsi="Arial" w:cs="Arial"/>
                                <w:sz w:val="20"/>
                                <w:szCs w:val="20"/>
                              </w:rPr>
                              <w:t>ciary or parent/legal guardian</w:t>
                            </w:r>
                          </w:p>
                        </w:tc>
                        <w:tc>
                          <w:tcPr>
                            <w:tcW w:w="10350" w:type="dxa"/>
                            <w:tcBorders>
                              <w:top w:val="single" w:sz="4" w:space="0" w:color="auto"/>
                              <w:left w:val="single" w:sz="4" w:space="0" w:color="000000"/>
                              <w:bottom w:val="single" w:sz="4" w:space="0" w:color="000000"/>
                              <w:right w:val="single" w:sz="4" w:space="0" w:color="000000"/>
                            </w:tcBorders>
                          </w:tcPr>
                          <w:p w:rsidR="00D3679B" w:rsidRPr="00E86CF1" w:rsidRDefault="00561996" w:rsidP="009F1841">
                            <w:pPr>
                              <w:pStyle w:val="Default"/>
                              <w:ind w:left="72"/>
                              <w:rPr>
                                <w:rFonts w:ascii="Arial" w:hAnsi="Arial" w:cs="Arial"/>
                                <w:color w:val="auto"/>
                                <w:sz w:val="20"/>
                                <w:szCs w:val="20"/>
                              </w:rPr>
                            </w:pPr>
                            <w:r>
                              <w:rPr>
                                <w:rFonts w:ascii="Arial" w:hAnsi="Arial" w:cs="Arial"/>
                                <w:color w:val="auto"/>
                                <w:sz w:val="20"/>
                                <w:szCs w:val="20"/>
                              </w:rPr>
                              <w:t>The BHP</w:t>
                            </w:r>
                            <w:r w:rsidR="00D3679B" w:rsidRPr="00E86CF1">
                              <w:rPr>
                                <w:rFonts w:ascii="Arial" w:hAnsi="Arial" w:cs="Arial"/>
                                <w:color w:val="auto"/>
                                <w:sz w:val="20"/>
                                <w:szCs w:val="20"/>
                              </w:rPr>
                              <w:t xml:space="preserve"> has determined that the beneficiary does not meet the criteria to be eligibl</w:t>
                            </w:r>
                            <w:r w:rsidR="009F1841">
                              <w:rPr>
                                <w:rFonts w:ascii="Arial" w:hAnsi="Arial" w:cs="Arial"/>
                                <w:color w:val="auto"/>
                                <w:sz w:val="20"/>
                                <w:szCs w:val="20"/>
                              </w:rPr>
                              <w:t xml:space="preserve">e for specialty mental health services (SMHS).  </w:t>
                            </w:r>
                            <w:r w:rsidR="00D3679B" w:rsidRPr="00E86CF1">
                              <w:rPr>
                                <w:rFonts w:ascii="Arial" w:hAnsi="Arial" w:cs="Arial"/>
                                <w:color w:val="auto"/>
                                <w:sz w:val="20"/>
                                <w:szCs w:val="20"/>
                              </w:rPr>
                              <w:t>The beneficiary will be referred to the Managed Care Plan, or other appropr</w:t>
                            </w:r>
                            <w:r w:rsidR="009F1841">
                              <w:rPr>
                                <w:rFonts w:ascii="Arial" w:hAnsi="Arial" w:cs="Arial"/>
                                <w:color w:val="auto"/>
                                <w:sz w:val="20"/>
                                <w:szCs w:val="20"/>
                              </w:rPr>
                              <w:t xml:space="preserve">iate system, for mental health and/or </w:t>
                            </w:r>
                            <w:r w:rsidR="00D3679B" w:rsidRPr="00E86CF1">
                              <w:rPr>
                                <w:rFonts w:ascii="Arial" w:hAnsi="Arial" w:cs="Arial"/>
                                <w:color w:val="auto"/>
                                <w:sz w:val="20"/>
                                <w:szCs w:val="20"/>
                              </w:rPr>
                              <w:t>other services. The Plan must mail the notice to the beneficiary within two (2) business days of the decision.</w:t>
                            </w:r>
                            <w:r w:rsidR="00960A1C">
                              <w:rPr>
                                <w:rFonts w:ascii="Arial" w:hAnsi="Arial" w:cs="Arial"/>
                                <w:color w:val="auto"/>
                                <w:sz w:val="20"/>
                                <w:szCs w:val="20"/>
                              </w:rPr>
                              <w:t xml:space="preserve">  NOTE:  This template does not apply to SUD services.  </w:t>
                            </w:r>
                          </w:p>
                        </w:tc>
                      </w:tr>
                      <w:tr w:rsidR="00D3679B" w:rsidRPr="00E86CF1" w:rsidTr="00D53A92">
                        <w:trPr>
                          <w:trHeight w:val="761"/>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Modification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00B050"/>
                                <w:sz w:val="20"/>
                                <w:szCs w:val="20"/>
                                <w:vertAlign w:val="superscript"/>
                              </w:rPr>
                            </w:pPr>
                            <w:r w:rsidRPr="00E86CF1">
                              <w:rPr>
                                <w:rFonts w:ascii="Arial" w:hAnsi="Arial" w:cs="Arial"/>
                                <w:color w:val="auto"/>
                                <w:sz w:val="20"/>
                                <w:szCs w:val="20"/>
                              </w:rPr>
                              <w:t>The BHP modifies or limits a provider’s request for a service, including reductions in frequency and/or duration of services, and approval of alternative treatments and services. The BHP must mail the notice to the beneficiary within two (2) business days of the decision.  Requires provider notification within 24 hours.</w:t>
                            </w:r>
                            <w:r w:rsidRPr="00E86CF1">
                              <w:rPr>
                                <w:rFonts w:ascii="Arial" w:hAnsi="Arial" w:cs="Arial"/>
                                <w:b/>
                                <w:color w:val="00B050"/>
                                <w:sz w:val="20"/>
                                <w:szCs w:val="20"/>
                                <w:vertAlign w:val="superscript"/>
                              </w:rPr>
                              <w:t>1</w:t>
                            </w:r>
                          </w:p>
                        </w:tc>
                      </w:tr>
                      <w:tr w:rsidR="00D3679B" w:rsidRPr="00E86CF1" w:rsidTr="00D53A92">
                        <w:trPr>
                          <w:trHeight w:val="446"/>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Termination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CA2859" w:rsidP="00CA2859">
                            <w:pPr>
                              <w:pStyle w:val="Default"/>
                              <w:rPr>
                                <w:rFonts w:ascii="Arial" w:hAnsi="Arial" w:cs="Arial"/>
                                <w:sz w:val="20"/>
                                <w:szCs w:val="20"/>
                              </w:rPr>
                            </w:pPr>
                            <w:r>
                              <w:rPr>
                                <w:rFonts w:ascii="Arial" w:hAnsi="Arial" w:cs="Arial"/>
                                <w:color w:val="000000" w:themeColor="text1"/>
                                <w:sz w:val="20"/>
                                <w:szCs w:val="20"/>
                              </w:rPr>
                              <w:t xml:space="preserve">The </w:t>
                            </w:r>
                            <w:r w:rsidR="000C2C5C" w:rsidRPr="00CA2859">
                              <w:rPr>
                                <w:rFonts w:ascii="Arial" w:hAnsi="Arial" w:cs="Arial"/>
                                <w:color w:val="000000" w:themeColor="text1"/>
                                <w:sz w:val="20"/>
                                <w:szCs w:val="20"/>
                              </w:rPr>
                              <w:t>BHP</w:t>
                            </w:r>
                            <w:r w:rsidR="00D3679B" w:rsidRPr="00CA2859">
                              <w:rPr>
                                <w:rFonts w:ascii="Arial" w:hAnsi="Arial" w:cs="Arial"/>
                                <w:color w:val="000000" w:themeColor="text1"/>
                                <w:sz w:val="20"/>
                                <w:szCs w:val="20"/>
                              </w:rPr>
                              <w:t xml:space="preserve"> </w:t>
                            </w:r>
                            <w:r w:rsidR="00D3679B" w:rsidRPr="00E86CF1">
                              <w:rPr>
                                <w:rFonts w:ascii="Arial" w:hAnsi="Arial" w:cs="Arial"/>
                                <w:color w:val="auto"/>
                                <w:sz w:val="20"/>
                                <w:szCs w:val="20"/>
                              </w:rPr>
                              <w:t xml:space="preserve">terminates, reduces or suspends a previously authorized service.  </w:t>
                            </w:r>
                            <w:r w:rsidR="000C2C5C" w:rsidRPr="00CA2859">
                              <w:rPr>
                                <w:rFonts w:ascii="Arial" w:hAnsi="Arial" w:cs="Arial"/>
                                <w:color w:val="000000" w:themeColor="text1"/>
                                <w:sz w:val="20"/>
                                <w:szCs w:val="20"/>
                              </w:rPr>
                              <w:t xml:space="preserve">The BHP </w:t>
                            </w:r>
                            <w:r w:rsidR="00D3679B" w:rsidRPr="00E86CF1">
                              <w:rPr>
                                <w:rFonts w:ascii="Arial" w:hAnsi="Arial" w:cs="Arial"/>
                                <w:color w:val="auto"/>
                                <w:sz w:val="20"/>
                                <w:szCs w:val="20"/>
                              </w:rPr>
                              <w:t>must mail the notice to the beneficiary at least ten (10) days before the date of the action.  Requires provider notification within 24 hours.</w:t>
                            </w:r>
                            <w:r w:rsidR="00D3679B" w:rsidRPr="00E86CF1">
                              <w:rPr>
                                <w:rFonts w:ascii="Arial" w:hAnsi="Arial" w:cs="Arial"/>
                                <w:b/>
                                <w:color w:val="00B050"/>
                                <w:sz w:val="20"/>
                                <w:szCs w:val="20"/>
                                <w:vertAlign w:val="superscript"/>
                              </w:rPr>
                              <w:t>1</w:t>
                            </w:r>
                          </w:p>
                        </w:tc>
                      </w:tr>
                      <w:tr w:rsidR="00D3679B" w:rsidRPr="00E86CF1" w:rsidTr="00D53A92">
                        <w:trPr>
                          <w:trHeight w:val="1115"/>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Authorization Delay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 xml:space="preserve">When there is a delay in processing a provider’s request for authorization of specialty mental health services or substance use disorder residential services. When ACBH extends the timeframes to make an authorization decision, it is a delay in processing a provider’s request. This includes extensions granted at the request of the beneficiary or provider, and/or those </w:t>
                            </w:r>
                            <w:bookmarkStart w:id="1" w:name="_GoBack"/>
                            <w:bookmarkEnd w:id="1"/>
                            <w:r w:rsidRPr="00E86CF1">
                              <w:rPr>
                                <w:rFonts w:ascii="Arial" w:hAnsi="Arial" w:cs="Arial"/>
                                <w:color w:val="auto"/>
                                <w:sz w:val="20"/>
                                <w:szCs w:val="20"/>
                              </w:rPr>
                              <w:t xml:space="preserve">granted when there is a need for additional information from the beneficiary or provider, when the extension is in the beneficiary’s interest. ACBH must mail the notice to the beneficiary within two (2) business days of the decision. </w:t>
                            </w:r>
                          </w:p>
                        </w:tc>
                      </w:tr>
                      <w:tr w:rsidR="00D3679B" w:rsidRPr="00E86CF1" w:rsidTr="00D53A92">
                        <w:trPr>
                          <w:trHeight w:val="851"/>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Timely Access Notice</w:t>
                            </w:r>
                          </w:p>
                          <w:p w:rsidR="00D3679B" w:rsidRPr="00E86CF1" w:rsidRDefault="00D3679B" w:rsidP="0019073F">
                            <w:pPr>
                              <w:pStyle w:val="Default"/>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sz w:val="20"/>
                                <w:szCs w:val="20"/>
                              </w:rPr>
                              <w:t xml:space="preserve">When there is a delay in providing the beneficiary with timely services, as required by the timely access standards applicable to the delayed service. </w:t>
                            </w:r>
                            <w:r w:rsidRPr="00E86CF1">
                              <w:rPr>
                                <w:rFonts w:ascii="Arial" w:hAnsi="Arial" w:cs="Arial"/>
                                <w:color w:val="auto"/>
                                <w:sz w:val="20"/>
                                <w:szCs w:val="20"/>
                              </w:rPr>
                              <w:t>The BHP must mail the notice to the beneficiary within two (2) business days.</w:t>
                            </w:r>
                          </w:p>
                        </w:tc>
                      </w:tr>
                      <w:tr w:rsidR="00D3679B" w:rsidRPr="00E86CF1" w:rsidTr="00D53A92">
                        <w:trPr>
                          <w:trHeight w:val="272"/>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Financial Liability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ACBH denies a beneficiary’s request to dispute financial liability, including cost-sharing and other beneficiary financial liabilities. ACBH must mail the notice to the beneficiary at the time of any action regarding the dispute.</w:t>
                            </w:r>
                          </w:p>
                        </w:tc>
                      </w:tr>
                      <w:tr w:rsidR="00D3679B" w:rsidRPr="00E86CF1" w:rsidTr="00D53A92">
                        <w:trPr>
                          <w:trHeight w:val="272"/>
                        </w:trPr>
                        <w:tc>
                          <w:tcPr>
                            <w:tcW w:w="144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rPr>
                                <w:rFonts w:ascii="Arial" w:hAnsi="Arial" w:cs="Arial"/>
                                <w:b/>
                                <w:bCs/>
                                <w:sz w:val="20"/>
                                <w:szCs w:val="20"/>
                              </w:rPr>
                            </w:pPr>
                            <w:r w:rsidRPr="007073A6">
                              <w:rPr>
                                <w:rFonts w:ascii="Arial" w:hAnsi="Arial" w:cs="Arial"/>
                                <w:b/>
                                <w:bCs/>
                                <w:sz w:val="20"/>
                                <w:szCs w:val="20"/>
                              </w:rPr>
                              <w:t>Grievance &amp; Appeal Timely Resolution</w:t>
                            </w:r>
                          </w:p>
                        </w:tc>
                        <w:tc>
                          <w:tcPr>
                            <w:tcW w:w="135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rPr>
                                <w:rFonts w:ascii="Arial" w:hAnsi="Arial" w:cs="Arial"/>
                                <w:sz w:val="20"/>
                                <w:szCs w:val="20"/>
                              </w:rPr>
                            </w:pPr>
                            <w:r w:rsidRPr="007073A6">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ind w:left="72"/>
                              <w:rPr>
                                <w:rFonts w:ascii="Arial" w:hAnsi="Arial" w:cs="Arial"/>
                                <w:sz w:val="20"/>
                                <w:szCs w:val="20"/>
                              </w:rPr>
                            </w:pPr>
                            <w:r w:rsidRPr="007073A6">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7073A6">
                              <w:rPr>
                                <w:rFonts w:ascii="Arial" w:hAnsi="Arial" w:cs="Arial"/>
                                <w:color w:val="auto"/>
                                <w:sz w:val="20"/>
                                <w:szCs w:val="20"/>
                              </w:rPr>
                              <w:t>Failure to timely resolve grievances and/or appeals.  Use this template when the BHP does not meet required timeframes for the standard resolution of grievances and appeals.</w:t>
                            </w:r>
                            <w:r w:rsidRPr="00E86CF1">
                              <w:rPr>
                                <w:rFonts w:ascii="Arial" w:hAnsi="Arial" w:cs="Arial"/>
                                <w:color w:val="auto"/>
                                <w:sz w:val="20"/>
                                <w:szCs w:val="20"/>
                              </w:rPr>
                              <w:t xml:space="preserve">  </w:t>
                            </w:r>
                          </w:p>
                        </w:tc>
                      </w:tr>
                    </w:tbl>
                    <w:p w:rsidR="00D3679B" w:rsidRPr="00254550" w:rsidRDefault="00D3679B" w:rsidP="00D53A92">
                      <w:pPr>
                        <w:spacing w:before="40" w:after="0" w:line="240" w:lineRule="exact"/>
                        <w:ind w:left="1620" w:right="330"/>
                        <w:jc w:val="both"/>
                        <w:rPr>
                          <w:rFonts w:ascii="Arial" w:hAnsi="Arial" w:cs="Arial"/>
                        </w:rPr>
                      </w:pPr>
                      <w:r w:rsidRPr="00254550">
                        <w:rPr>
                          <w:rFonts w:ascii="Arial" w:hAnsi="Arial" w:cs="Arial"/>
                          <w:sz w:val="20"/>
                          <w:szCs w:val="20"/>
                        </w:rPr>
                        <w:t xml:space="preserve">NOTE: </w:t>
                      </w:r>
                      <w:r w:rsidRPr="00254550">
                        <w:rPr>
                          <w:rFonts w:ascii="Arial" w:hAnsi="Arial" w:cs="Arial"/>
                          <w:color w:val="000000"/>
                          <w:sz w:val="20"/>
                          <w:szCs w:val="20"/>
                        </w:rPr>
                        <w:t>The BHP must also communicate the decision to the affected provider within 24 hours of making the decision, initially by telephone or facsimile, and then by writing, except for decisions rendered retrospectively.</w:t>
                      </w:r>
                      <w:r w:rsidRPr="00254550">
                        <w:rPr>
                          <w:rFonts w:ascii="Arial" w:hAnsi="Arial" w:cs="Arial"/>
                          <w:b/>
                          <w:color w:val="00B050"/>
                          <w:sz w:val="20"/>
                          <w:szCs w:val="20"/>
                          <w:vertAlign w:val="superscript"/>
                        </w:rPr>
                        <w:t xml:space="preserve">1 </w:t>
                      </w:r>
                      <w:r w:rsidRPr="00254550">
                        <w:rPr>
                          <w:rFonts w:ascii="Arial" w:hAnsi="Arial" w:cs="Arial"/>
                          <w:sz w:val="20"/>
                          <w:szCs w:val="20"/>
                        </w:rPr>
                        <w:t>Services</w:t>
                      </w:r>
                      <w:r w:rsidR="008C5E0C" w:rsidRPr="00254550">
                        <w:rPr>
                          <w:rFonts w:ascii="Arial" w:hAnsi="Arial" w:cs="Arial"/>
                          <w:sz w:val="20"/>
                          <w:szCs w:val="20"/>
                        </w:rPr>
                        <w:t xml:space="preserve"> not authorized by ACBH</w:t>
                      </w:r>
                      <w:r w:rsidRPr="00254550">
                        <w:rPr>
                          <w:rFonts w:ascii="Arial" w:hAnsi="Arial" w:cs="Arial"/>
                          <w:sz w:val="20"/>
                          <w:szCs w:val="20"/>
                        </w:rPr>
                        <w:t xml:space="preserve"> that are reduced, modified, or terminated </w:t>
                      </w:r>
                      <w:r w:rsidR="008C5E0C" w:rsidRPr="00254550">
                        <w:rPr>
                          <w:rFonts w:ascii="Arial" w:hAnsi="Arial" w:cs="Arial"/>
                          <w:sz w:val="20"/>
                          <w:szCs w:val="20"/>
                        </w:rPr>
                        <w:t xml:space="preserve">as a </w:t>
                      </w:r>
                      <w:r w:rsidRPr="00254550">
                        <w:rPr>
                          <w:rFonts w:ascii="Arial" w:hAnsi="Arial" w:cs="Arial"/>
                          <w:sz w:val="20"/>
                          <w:szCs w:val="20"/>
                        </w:rPr>
                        <w:t>result of a treatment Team/Clinician decision based on the beneficiary’s clinical condition</w:t>
                      </w:r>
                      <w:r w:rsidR="00396E94">
                        <w:rPr>
                          <w:rFonts w:ascii="Arial" w:hAnsi="Arial" w:cs="Arial"/>
                          <w:sz w:val="20"/>
                          <w:szCs w:val="20"/>
                        </w:rPr>
                        <w:t xml:space="preserve"> and/or progress in treatment are</w:t>
                      </w:r>
                      <w:r w:rsidRPr="00254550">
                        <w:rPr>
                          <w:rFonts w:ascii="Arial" w:hAnsi="Arial" w:cs="Arial"/>
                          <w:sz w:val="20"/>
                          <w:szCs w:val="20"/>
                        </w:rPr>
                        <w:t xml:space="preserve"> not subject to an adverse benefit determination notification. The beneficiary still has the right to appeal the decision with the BHP</w:t>
                      </w:r>
                      <w:r w:rsidR="008C5E0C" w:rsidRPr="00254550">
                        <w:rPr>
                          <w:rFonts w:ascii="Arial" w:hAnsi="Arial" w:cs="Arial"/>
                          <w:sz w:val="20"/>
                          <w:szCs w:val="20"/>
                        </w:rPr>
                        <w:t>.</w:t>
                      </w:r>
                      <w:r w:rsidRPr="00254550">
                        <w:rPr>
                          <w:rFonts w:ascii="Arial" w:hAnsi="Arial" w:cs="Arial"/>
                          <w:sz w:val="20"/>
                          <w:szCs w:val="20"/>
                        </w:rPr>
                        <w:t xml:space="preserve">  </w:t>
                      </w:r>
                      <w:r w:rsidRPr="00254550">
                        <w:rPr>
                          <w:rFonts w:ascii="Arial" w:hAnsi="Arial" w:cs="Arial"/>
                          <w:sz w:val="20"/>
                          <w:szCs w:val="20"/>
                        </w:rPr>
                        <w:br/>
                      </w:r>
                      <w:r w:rsidRPr="00254550">
                        <w:rPr>
                          <w:rFonts w:ascii="Arial" w:hAnsi="Arial" w:cs="Arial"/>
                        </w:rPr>
                        <w:t xml:space="preserve"> </w:t>
                      </w: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txbxContent>
                </v:textbox>
                <w10:wrap type="through" anchorx="margin" anchory="page"/>
              </v:shape>
            </w:pict>
          </mc:Fallback>
        </mc:AlternateContent>
      </w:r>
    </w:p>
    <w:sectPr w:rsidR="008D593F" w:rsidSect="00D53A92">
      <w:headerReference w:type="default" r:id="rId8"/>
      <w:footerReference w:type="default" r:id="rId9"/>
      <w:pgSz w:w="15840" w:h="12240" w:orient="landscape" w:code="1"/>
      <w:pgMar w:top="1260" w:right="1440" w:bottom="1440" w:left="1440" w:header="518" w:footer="288"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79B" w:rsidRDefault="00D3679B" w:rsidP="008D593F">
      <w:pPr>
        <w:spacing w:after="0" w:line="240" w:lineRule="auto"/>
      </w:pPr>
      <w:r>
        <w:separator/>
      </w:r>
    </w:p>
  </w:endnote>
  <w:endnote w:type="continuationSeparator" w:id="0">
    <w:p w:rsidR="00D3679B" w:rsidRDefault="00D3679B" w:rsidP="008D5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2012944"/>
      <w:docPartObj>
        <w:docPartGallery w:val="Page Numbers (Bottom of Page)"/>
        <w:docPartUnique/>
      </w:docPartObj>
    </w:sdtPr>
    <w:sdtEndPr>
      <w:rPr>
        <w:noProof/>
      </w:rPr>
    </w:sdtEndPr>
    <w:sdtContent>
      <w:p w:rsidR="00D3679B" w:rsidRDefault="00D3679B">
        <w:pPr>
          <w:pStyle w:val="Footer"/>
          <w:jc w:val="right"/>
        </w:pPr>
        <w:r>
          <w:fldChar w:fldCharType="begin"/>
        </w:r>
        <w:r>
          <w:instrText xml:space="preserve"> PAGE   \* MERGEFORMAT </w:instrText>
        </w:r>
        <w:r>
          <w:fldChar w:fldCharType="separate"/>
        </w:r>
        <w:r w:rsidR="00E072FB">
          <w:rPr>
            <w:noProof/>
          </w:rPr>
          <w:t>2</w:t>
        </w:r>
        <w:r>
          <w:rPr>
            <w:noProof/>
          </w:rPr>
          <w:fldChar w:fldCharType="end"/>
        </w:r>
      </w:p>
    </w:sdtContent>
  </w:sdt>
  <w:p w:rsidR="00D3679B" w:rsidRPr="00E86CF1" w:rsidRDefault="00165A7D" w:rsidP="00861947">
    <w:pPr>
      <w:pStyle w:val="Footer"/>
      <w:tabs>
        <w:tab w:val="clear" w:pos="4680"/>
        <w:tab w:val="clear" w:pos="9360"/>
        <w:tab w:val="left" w:pos="2940"/>
        <w:tab w:val="left" w:pos="5076"/>
      </w:tabs>
      <w:ind w:left="270"/>
      <w:jc w:val="both"/>
      <w:rPr>
        <w:rFonts w:ascii="Arial" w:hAnsi="Arial" w:cs="Arial"/>
        <w:sz w:val="20"/>
        <w:szCs w:val="20"/>
      </w:rPr>
    </w:pPr>
    <w:proofErr w:type="gramStart"/>
    <w:r>
      <w:rPr>
        <w:rFonts w:ascii="Arial" w:hAnsi="Arial" w:cs="Arial"/>
        <w:sz w:val="20"/>
        <w:szCs w:val="20"/>
      </w:rPr>
      <w:t>v.</w:t>
    </w:r>
    <w:r w:rsidR="00E072FB">
      <w:rPr>
        <w:rFonts w:ascii="Arial" w:hAnsi="Arial" w:cs="Arial"/>
        <w:sz w:val="20"/>
        <w:szCs w:val="20"/>
      </w:rPr>
      <w:t>7-24</w:t>
    </w:r>
    <w:r w:rsidR="009F1841">
      <w:rPr>
        <w:rFonts w:ascii="Arial" w:hAnsi="Arial" w:cs="Arial"/>
        <w:sz w:val="20"/>
        <w:szCs w:val="20"/>
      </w:rPr>
      <w:t>-19</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Attachment 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79B" w:rsidRDefault="00D3679B" w:rsidP="008D593F">
      <w:pPr>
        <w:spacing w:after="0" w:line="240" w:lineRule="auto"/>
      </w:pPr>
      <w:r>
        <w:separator/>
      </w:r>
    </w:p>
  </w:footnote>
  <w:footnote w:type="continuationSeparator" w:id="0">
    <w:p w:rsidR="00D3679B" w:rsidRDefault="00D3679B" w:rsidP="008D59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79B" w:rsidRPr="00C52CAC" w:rsidRDefault="00D3679B" w:rsidP="00D53A92">
    <w:pPr>
      <w:pStyle w:val="CM1"/>
      <w:framePr w:w="1471" w:h="1080" w:hRule="exact" w:wrap="auto" w:vAnchor="page" w:hAnchor="page" w:x="376" w:y="363"/>
    </w:pPr>
    <w:r>
      <w:rPr>
        <w:noProof/>
      </w:rPr>
      <w:drawing>
        <wp:inline distT="0" distB="0" distL="0" distR="0" wp14:anchorId="779FC176" wp14:editId="46CDC52D">
          <wp:extent cx="984885" cy="48069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
                    <a:extLst>
                      <a:ext uri="{28A0092B-C50C-407E-A947-70E740481C1C}">
                        <a14:useLocalDpi xmlns:a14="http://schemas.microsoft.com/office/drawing/2010/main" val="0"/>
                      </a:ext>
                    </a:extLst>
                  </a:blip>
                  <a:srcRect r="66151" b="-10663"/>
                  <a:stretch/>
                </pic:blipFill>
                <pic:spPr bwMode="auto">
                  <a:xfrm>
                    <a:off x="0" y="0"/>
                    <a:ext cx="984885" cy="48069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bCs/>
        <w:color w:val="000000"/>
      </w:rPr>
      <w:t xml:space="preserve">              </w:t>
    </w:r>
  </w:p>
  <w:p w:rsidR="00D3679B" w:rsidRPr="005B5D30" w:rsidRDefault="00D3679B" w:rsidP="005B5D30">
    <w:pPr>
      <w:pStyle w:val="Header"/>
      <w:tabs>
        <w:tab w:val="clear" w:pos="4680"/>
        <w:tab w:val="clear" w:pos="9360"/>
        <w:tab w:val="left" w:pos="5940"/>
      </w:tabs>
      <w:spacing w:after="0" w:line="240" w:lineRule="auto"/>
      <w:ind w:right="-162"/>
      <w:jc w:val="center"/>
      <w:rPr>
        <w:rFonts w:ascii="Arial" w:hAnsi="Arial" w:cs="Arial"/>
        <w:b/>
        <w:bCs/>
        <w:color w:val="000000"/>
        <w:sz w:val="24"/>
        <w:szCs w:val="24"/>
      </w:rPr>
    </w:pPr>
    <w:r w:rsidRPr="005B5D30">
      <w:rPr>
        <w:rFonts w:ascii="Arial" w:hAnsi="Arial" w:cs="Arial"/>
        <w:b/>
        <w:bCs/>
        <w:color w:val="000000"/>
        <w:sz w:val="24"/>
        <w:szCs w:val="24"/>
      </w:rPr>
      <w:t>NOTICE OF ADVERSE BENEFIT DETERMINATION (NOABD)</w:t>
    </w:r>
    <w:r>
      <w:rPr>
        <w:rFonts w:ascii="Arial" w:hAnsi="Arial" w:cs="Arial"/>
        <w:b/>
        <w:bCs/>
        <w:color w:val="000000"/>
        <w:sz w:val="24"/>
        <w:szCs w:val="24"/>
      </w:rPr>
      <w:t xml:space="preserve"> TABLE</w:t>
    </w:r>
  </w:p>
  <w:p w:rsidR="00D3679B" w:rsidRPr="005B5D30" w:rsidRDefault="00D3679B" w:rsidP="005B5D30">
    <w:pPr>
      <w:pStyle w:val="Header"/>
      <w:tabs>
        <w:tab w:val="clear" w:pos="4680"/>
        <w:tab w:val="clear" w:pos="9360"/>
        <w:tab w:val="left" w:pos="3570"/>
        <w:tab w:val="left" w:pos="5940"/>
        <w:tab w:val="center" w:pos="6709"/>
      </w:tabs>
      <w:spacing w:after="0" w:line="240" w:lineRule="auto"/>
      <w:jc w:val="center"/>
      <w:rPr>
        <w:sz w:val="24"/>
        <w:szCs w:val="24"/>
      </w:rPr>
    </w:pPr>
    <w:r w:rsidRPr="005B5D30">
      <w:rPr>
        <w:rFonts w:ascii="Arial" w:hAnsi="Arial" w:cs="Arial"/>
        <w:b/>
        <w:bCs/>
        <w:color w:val="000000"/>
        <w:sz w:val="24"/>
        <w:szCs w:val="24"/>
      </w:rPr>
      <w:t xml:space="preserve">For </w:t>
    </w:r>
    <w:proofErr w:type="spellStart"/>
    <w:r w:rsidRPr="005B5D30">
      <w:rPr>
        <w:rFonts w:ascii="Arial" w:hAnsi="Arial" w:cs="Arial"/>
        <w:b/>
        <w:bCs/>
        <w:color w:val="000000"/>
        <w:sz w:val="24"/>
        <w:szCs w:val="24"/>
      </w:rPr>
      <w:t>Medi</w:t>
    </w:r>
    <w:proofErr w:type="spellEnd"/>
    <w:r w:rsidRPr="005B5D30">
      <w:rPr>
        <w:rFonts w:ascii="Arial" w:hAnsi="Arial" w:cs="Arial"/>
        <w:b/>
        <w:bCs/>
        <w:color w:val="000000"/>
        <w:sz w:val="24"/>
        <w:szCs w:val="24"/>
      </w:rPr>
      <w:t>-Cal Beneficiaries: Specialty Mental Health and Substance Use Disorder Treatment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076F3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C7453"/>
    <w:multiLevelType w:val="hybridMultilevel"/>
    <w:tmpl w:val="B14C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2085C"/>
    <w:multiLevelType w:val="hybridMultilevel"/>
    <w:tmpl w:val="AE8EFA60"/>
    <w:lvl w:ilvl="0" w:tplc="0409000B">
      <w:start w:val="1"/>
      <w:numFmt w:val="bullet"/>
      <w:lvlText w:val=""/>
      <w:lvlJc w:val="left"/>
      <w:pPr>
        <w:ind w:left="2520" w:hanging="360"/>
      </w:pPr>
      <w:rPr>
        <w:rFonts w:ascii="Wingdings" w:hAnsi="Wingdings"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210780"/>
    <w:multiLevelType w:val="hybridMultilevel"/>
    <w:tmpl w:val="F378C6F6"/>
    <w:lvl w:ilvl="0" w:tplc="82F46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50BE4"/>
    <w:multiLevelType w:val="hybridMultilevel"/>
    <w:tmpl w:val="9230B8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A4704"/>
    <w:multiLevelType w:val="hybridMultilevel"/>
    <w:tmpl w:val="47EAA6A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306111"/>
    <w:multiLevelType w:val="hybridMultilevel"/>
    <w:tmpl w:val="1DF21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D4517"/>
    <w:multiLevelType w:val="hybridMultilevel"/>
    <w:tmpl w:val="319ED660"/>
    <w:lvl w:ilvl="0" w:tplc="0409000B">
      <w:start w:val="1"/>
      <w:numFmt w:val="bullet"/>
      <w:lvlText w:val=""/>
      <w:lvlJc w:val="left"/>
      <w:pPr>
        <w:ind w:left="2520" w:hanging="360"/>
      </w:pPr>
      <w:rPr>
        <w:rFonts w:ascii="Wingdings" w:hAnsi="Wingding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03866C0"/>
    <w:multiLevelType w:val="hybridMultilevel"/>
    <w:tmpl w:val="3B3E4448"/>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9" w15:restartNumberingAfterBreak="0">
    <w:nsid w:val="4BA24DA3"/>
    <w:multiLevelType w:val="hybridMultilevel"/>
    <w:tmpl w:val="599ADCDC"/>
    <w:lvl w:ilvl="0" w:tplc="0409000B">
      <w:start w:val="1"/>
      <w:numFmt w:val="bullet"/>
      <w:lvlText w:val=""/>
      <w:lvlJc w:val="left"/>
      <w:pPr>
        <w:ind w:left="2520" w:hanging="360"/>
      </w:pPr>
      <w:rPr>
        <w:rFonts w:ascii="Wingdings" w:hAnsi="Wingdings" w:hint="default"/>
      </w:rPr>
    </w:lvl>
    <w:lvl w:ilvl="1" w:tplc="0409000B">
      <w:start w:val="1"/>
      <w:numFmt w:val="bullet"/>
      <w:lvlText w:val=""/>
      <w:lvlJc w:val="left"/>
      <w:pPr>
        <w:ind w:left="3240" w:hanging="360"/>
      </w:pPr>
      <w:rPr>
        <w:rFonts w:ascii="Wingdings" w:hAnsi="Wingding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8F60F1"/>
    <w:multiLevelType w:val="hybridMultilevel"/>
    <w:tmpl w:val="8144B1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4E4036"/>
    <w:multiLevelType w:val="hybridMultilevel"/>
    <w:tmpl w:val="1C8EDD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F864C7"/>
    <w:multiLevelType w:val="hybridMultilevel"/>
    <w:tmpl w:val="FC08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6"/>
  </w:num>
  <w:num w:numId="6">
    <w:abstractNumId w:val="3"/>
  </w:num>
  <w:num w:numId="7">
    <w:abstractNumId w:val="4"/>
  </w:num>
  <w:num w:numId="8">
    <w:abstractNumId w:val="7"/>
  </w:num>
  <w:num w:numId="9">
    <w:abstractNumId w:val="12"/>
  </w:num>
  <w:num w:numId="10">
    <w:abstractNumId w:val="10"/>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71"/>
    <w:rsid w:val="000043C8"/>
    <w:rsid w:val="00033EFC"/>
    <w:rsid w:val="00046115"/>
    <w:rsid w:val="00077093"/>
    <w:rsid w:val="000972AA"/>
    <w:rsid w:val="000972E6"/>
    <w:rsid w:val="000C2C5C"/>
    <w:rsid w:val="000E74C4"/>
    <w:rsid w:val="000F453C"/>
    <w:rsid w:val="000F5887"/>
    <w:rsid w:val="00165A7D"/>
    <w:rsid w:val="00175303"/>
    <w:rsid w:val="0019073F"/>
    <w:rsid w:val="001B0B6D"/>
    <w:rsid w:val="001D4086"/>
    <w:rsid w:val="00224441"/>
    <w:rsid w:val="00254550"/>
    <w:rsid w:val="002B7481"/>
    <w:rsid w:val="002D4511"/>
    <w:rsid w:val="002E06E1"/>
    <w:rsid w:val="002E0756"/>
    <w:rsid w:val="002E3B74"/>
    <w:rsid w:val="002E63D5"/>
    <w:rsid w:val="002E7F53"/>
    <w:rsid w:val="002F2AD7"/>
    <w:rsid w:val="003148C2"/>
    <w:rsid w:val="00340255"/>
    <w:rsid w:val="003469C5"/>
    <w:rsid w:val="003876F6"/>
    <w:rsid w:val="00396E94"/>
    <w:rsid w:val="003B3971"/>
    <w:rsid w:val="003D34D5"/>
    <w:rsid w:val="004316B5"/>
    <w:rsid w:val="00434F53"/>
    <w:rsid w:val="0049146D"/>
    <w:rsid w:val="004A177C"/>
    <w:rsid w:val="0053180F"/>
    <w:rsid w:val="0053707D"/>
    <w:rsid w:val="00550CD2"/>
    <w:rsid w:val="00551D85"/>
    <w:rsid w:val="00561956"/>
    <w:rsid w:val="00561996"/>
    <w:rsid w:val="005B2DCC"/>
    <w:rsid w:val="005B4670"/>
    <w:rsid w:val="005B5D30"/>
    <w:rsid w:val="005E29AE"/>
    <w:rsid w:val="005E2D62"/>
    <w:rsid w:val="005F0AD2"/>
    <w:rsid w:val="00614EBE"/>
    <w:rsid w:val="00617E84"/>
    <w:rsid w:val="00620787"/>
    <w:rsid w:val="006256B9"/>
    <w:rsid w:val="00641B34"/>
    <w:rsid w:val="00652FB0"/>
    <w:rsid w:val="00667C90"/>
    <w:rsid w:val="006A2503"/>
    <w:rsid w:val="006C260E"/>
    <w:rsid w:val="006C6109"/>
    <w:rsid w:val="006F641C"/>
    <w:rsid w:val="00700DDC"/>
    <w:rsid w:val="007073A6"/>
    <w:rsid w:val="00721382"/>
    <w:rsid w:val="00727419"/>
    <w:rsid w:val="00737D51"/>
    <w:rsid w:val="00763621"/>
    <w:rsid w:val="007B2916"/>
    <w:rsid w:val="007D6A2C"/>
    <w:rsid w:val="007D6F1D"/>
    <w:rsid w:val="007E0B5C"/>
    <w:rsid w:val="007E4266"/>
    <w:rsid w:val="00802E9A"/>
    <w:rsid w:val="00846043"/>
    <w:rsid w:val="00861947"/>
    <w:rsid w:val="008B3ADA"/>
    <w:rsid w:val="008C1E59"/>
    <w:rsid w:val="008C5E0C"/>
    <w:rsid w:val="008D593F"/>
    <w:rsid w:val="008E41B0"/>
    <w:rsid w:val="008E4AEC"/>
    <w:rsid w:val="00913664"/>
    <w:rsid w:val="00946300"/>
    <w:rsid w:val="00960A1C"/>
    <w:rsid w:val="00962F31"/>
    <w:rsid w:val="009905BC"/>
    <w:rsid w:val="009E704F"/>
    <w:rsid w:val="009F1841"/>
    <w:rsid w:val="00A1326B"/>
    <w:rsid w:val="00A268E1"/>
    <w:rsid w:val="00A416C8"/>
    <w:rsid w:val="00A76A04"/>
    <w:rsid w:val="00A85EE3"/>
    <w:rsid w:val="00A97177"/>
    <w:rsid w:val="00AD1FA6"/>
    <w:rsid w:val="00B04539"/>
    <w:rsid w:val="00B37D82"/>
    <w:rsid w:val="00B40EC0"/>
    <w:rsid w:val="00B931AE"/>
    <w:rsid w:val="00BA2EFA"/>
    <w:rsid w:val="00BD5E83"/>
    <w:rsid w:val="00BE1680"/>
    <w:rsid w:val="00BE7A30"/>
    <w:rsid w:val="00C34B0F"/>
    <w:rsid w:val="00C52CAC"/>
    <w:rsid w:val="00C93F1B"/>
    <w:rsid w:val="00CA2859"/>
    <w:rsid w:val="00CC3D73"/>
    <w:rsid w:val="00CE094A"/>
    <w:rsid w:val="00CF691C"/>
    <w:rsid w:val="00D14B39"/>
    <w:rsid w:val="00D31F68"/>
    <w:rsid w:val="00D3679B"/>
    <w:rsid w:val="00D53A92"/>
    <w:rsid w:val="00D6385A"/>
    <w:rsid w:val="00D820C0"/>
    <w:rsid w:val="00E072FB"/>
    <w:rsid w:val="00E53831"/>
    <w:rsid w:val="00E820AC"/>
    <w:rsid w:val="00E8602E"/>
    <w:rsid w:val="00E86CF1"/>
    <w:rsid w:val="00E97DA0"/>
    <w:rsid w:val="00ED130B"/>
    <w:rsid w:val="00EE027E"/>
    <w:rsid w:val="00F30C1A"/>
    <w:rsid w:val="00F31EF3"/>
    <w:rsid w:val="00F7624E"/>
    <w:rsid w:val="00FA66A5"/>
    <w:rsid w:val="00FA6896"/>
    <w:rsid w:val="00FB5C8B"/>
    <w:rsid w:val="00FC41F9"/>
    <w:rsid w:val="00FE1702"/>
    <w:rsid w:val="00FE75D4"/>
    <w:rsid w:val="00FF22BE"/>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ecimalSymbol w:val="."/>
  <w:listSeparator w:val=","/>
  <w14:defaultImageDpi w14:val="0"/>
  <w15:docId w15:val="{D4CA16A0-D9A0-4A08-8E82-478C0F9D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styleId="Header">
    <w:name w:val="header"/>
    <w:basedOn w:val="Normal"/>
    <w:link w:val="HeaderChar"/>
    <w:uiPriority w:val="99"/>
    <w:unhideWhenUsed/>
    <w:rsid w:val="008D593F"/>
    <w:pPr>
      <w:tabs>
        <w:tab w:val="center" w:pos="4680"/>
        <w:tab w:val="right" w:pos="9360"/>
      </w:tabs>
    </w:pPr>
  </w:style>
  <w:style w:type="character" w:customStyle="1" w:styleId="HeaderChar">
    <w:name w:val="Header Char"/>
    <w:basedOn w:val="DefaultParagraphFont"/>
    <w:link w:val="Header"/>
    <w:uiPriority w:val="99"/>
    <w:rsid w:val="008D593F"/>
  </w:style>
  <w:style w:type="paragraph" w:styleId="Footer">
    <w:name w:val="footer"/>
    <w:basedOn w:val="Normal"/>
    <w:link w:val="FooterChar"/>
    <w:uiPriority w:val="99"/>
    <w:unhideWhenUsed/>
    <w:rsid w:val="008D593F"/>
    <w:pPr>
      <w:tabs>
        <w:tab w:val="center" w:pos="4680"/>
        <w:tab w:val="right" w:pos="9360"/>
      </w:tabs>
    </w:pPr>
  </w:style>
  <w:style w:type="character" w:customStyle="1" w:styleId="FooterChar">
    <w:name w:val="Footer Char"/>
    <w:basedOn w:val="DefaultParagraphFont"/>
    <w:link w:val="Footer"/>
    <w:uiPriority w:val="99"/>
    <w:rsid w:val="008D593F"/>
  </w:style>
  <w:style w:type="paragraph" w:styleId="ListBullet">
    <w:name w:val="List Bullet"/>
    <w:basedOn w:val="Normal"/>
    <w:uiPriority w:val="99"/>
    <w:semiHidden/>
    <w:unhideWhenUsed/>
    <w:rsid w:val="008D593F"/>
    <w:pPr>
      <w:numPr>
        <w:numId w:val="1"/>
      </w:numPr>
      <w:contextualSpacing/>
    </w:pPr>
  </w:style>
  <w:style w:type="paragraph" w:styleId="BalloonText">
    <w:name w:val="Balloon Text"/>
    <w:basedOn w:val="Normal"/>
    <w:link w:val="BalloonTextChar"/>
    <w:uiPriority w:val="99"/>
    <w:semiHidden/>
    <w:unhideWhenUsed/>
    <w:rsid w:val="00B93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AE"/>
    <w:rPr>
      <w:rFonts w:ascii="Tahoma" w:hAnsi="Tahoma" w:cs="Tahoma"/>
      <w:sz w:val="16"/>
      <w:szCs w:val="16"/>
    </w:rPr>
  </w:style>
  <w:style w:type="paragraph" w:styleId="ListParagraph">
    <w:name w:val="List Paragraph"/>
    <w:basedOn w:val="Normal"/>
    <w:uiPriority w:val="34"/>
    <w:qFormat/>
    <w:rsid w:val="00CE094A"/>
    <w:pPr>
      <w:ind w:left="720"/>
      <w:contextualSpacing/>
    </w:pPr>
  </w:style>
  <w:style w:type="table" w:styleId="TableGrid">
    <w:name w:val="Table Grid"/>
    <w:basedOn w:val="TableNormal"/>
    <w:uiPriority w:val="59"/>
    <w:rsid w:val="00F76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DA7F2-4E53-4511-8726-DF09EE6B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186</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NOA</vt:lpstr>
    </vt:vector>
  </TitlesOfParts>
  <Company>The County of San Diego</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dc:title>
  <dc:subject/>
  <dc:creator>aktest1</dc:creator>
  <cp:keywords/>
  <dc:description/>
  <cp:lastModifiedBy>Karen Capece</cp:lastModifiedBy>
  <cp:revision>8</cp:revision>
  <cp:lastPrinted>2019-02-22T19:54:00Z</cp:lastPrinted>
  <dcterms:created xsi:type="dcterms:W3CDTF">2019-06-27T17:31:00Z</dcterms:created>
  <dcterms:modified xsi:type="dcterms:W3CDTF">2019-07-30T20:54:00Z</dcterms:modified>
</cp:coreProperties>
</file>